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BF0CB" w14:textId="2BA87276" w:rsidR="008600C0" w:rsidRDefault="006210EC" w:rsidP="00101703">
      <w:pPr>
        <w:jc w:val="center"/>
        <w:rPr>
          <w:b/>
          <w:bCs/>
          <w:color w:val="365F91" w:themeColor="accent1" w:themeShade="BF"/>
          <w:sz w:val="28"/>
          <w:szCs w:val="28"/>
        </w:rPr>
      </w:pPr>
      <w:bookmarkStart w:id="0" w:name="_GoBack"/>
      <w:bookmarkEnd w:id="0"/>
      <w:r w:rsidRPr="006210EC">
        <w:rPr>
          <w:b/>
          <w:bCs/>
          <w:color w:val="365F91" w:themeColor="accent1" w:themeShade="BF"/>
          <w:sz w:val="28"/>
          <w:szCs w:val="28"/>
        </w:rPr>
        <w:t xml:space="preserve">CCCM </w:t>
      </w:r>
      <w:r w:rsidR="00DF6C90" w:rsidRPr="006210EC">
        <w:rPr>
          <w:b/>
          <w:bCs/>
          <w:color w:val="365F91" w:themeColor="accent1" w:themeShade="BF"/>
          <w:sz w:val="28"/>
          <w:szCs w:val="28"/>
        </w:rPr>
        <w:t xml:space="preserve">ABA- </w:t>
      </w:r>
      <w:r w:rsidRPr="006210EC">
        <w:rPr>
          <w:b/>
          <w:bCs/>
          <w:color w:val="365F91" w:themeColor="accent1" w:themeShade="BF"/>
          <w:sz w:val="28"/>
          <w:szCs w:val="28"/>
        </w:rPr>
        <w:t>W</w:t>
      </w:r>
      <w:r w:rsidR="00361DC2" w:rsidRPr="006210EC">
        <w:rPr>
          <w:b/>
          <w:bCs/>
          <w:color w:val="365F91" w:themeColor="accent1" w:themeShade="BF"/>
          <w:sz w:val="28"/>
          <w:szCs w:val="28"/>
        </w:rPr>
        <w:t xml:space="preserve">orking </w:t>
      </w:r>
      <w:r w:rsidRPr="006210EC">
        <w:rPr>
          <w:b/>
          <w:bCs/>
          <w:color w:val="365F91" w:themeColor="accent1" w:themeShade="BF"/>
          <w:sz w:val="28"/>
          <w:szCs w:val="28"/>
        </w:rPr>
        <w:t xml:space="preserve">Group </w:t>
      </w:r>
      <w:r w:rsidR="00DF6C90" w:rsidRPr="006210EC">
        <w:rPr>
          <w:b/>
          <w:bCs/>
          <w:color w:val="365F91" w:themeColor="accent1" w:themeShade="BF"/>
          <w:sz w:val="28"/>
          <w:szCs w:val="28"/>
        </w:rPr>
        <w:t xml:space="preserve">Webinar </w:t>
      </w:r>
      <w:r w:rsidRPr="006210EC">
        <w:rPr>
          <w:b/>
          <w:bCs/>
          <w:color w:val="365F91" w:themeColor="accent1" w:themeShade="BF"/>
          <w:sz w:val="28"/>
          <w:szCs w:val="28"/>
        </w:rPr>
        <w:t>series</w:t>
      </w:r>
      <w:r w:rsidR="00101703">
        <w:rPr>
          <w:b/>
          <w:bCs/>
          <w:color w:val="365F91" w:themeColor="accent1" w:themeShade="BF"/>
          <w:sz w:val="28"/>
          <w:szCs w:val="28"/>
        </w:rPr>
        <w:t xml:space="preserve"> with focus on</w:t>
      </w:r>
      <w:r w:rsidR="008600C0">
        <w:rPr>
          <w:b/>
          <w:bCs/>
          <w:color w:val="365F91" w:themeColor="accent1" w:themeShade="BF"/>
          <w:sz w:val="28"/>
          <w:szCs w:val="28"/>
        </w:rPr>
        <w:t>:</w:t>
      </w:r>
    </w:p>
    <w:p w14:paraId="029F937C" w14:textId="0E377AB4" w:rsidR="00101703" w:rsidRDefault="00FC2217" w:rsidP="00101703">
      <w:pPr>
        <w:jc w:val="center"/>
        <w:rPr>
          <w:rFonts w:ascii="Calibri" w:hAnsi="Calibri"/>
          <w:b/>
          <w:bCs/>
          <w:color w:val="365F91" w:themeColor="accent1" w:themeShade="BF"/>
          <w:sz w:val="40"/>
          <w:szCs w:val="40"/>
        </w:rPr>
      </w:pPr>
      <w:r>
        <w:rPr>
          <w:rFonts w:ascii="Calibri" w:hAnsi="Calibri"/>
          <w:b/>
          <w:bCs/>
          <w:color w:val="365F91" w:themeColor="accent1" w:themeShade="BF"/>
          <w:sz w:val="40"/>
          <w:szCs w:val="40"/>
        </w:rPr>
        <w:t xml:space="preserve">The </w:t>
      </w:r>
      <w:r w:rsidR="00101703" w:rsidRPr="00D40918">
        <w:rPr>
          <w:rFonts w:ascii="Calibri" w:hAnsi="Calibri"/>
          <w:b/>
          <w:bCs/>
          <w:color w:val="365F91" w:themeColor="accent1" w:themeShade="BF"/>
          <w:sz w:val="40"/>
          <w:szCs w:val="40"/>
        </w:rPr>
        <w:t>Community Centre and its role in ABA approaches</w:t>
      </w:r>
    </w:p>
    <w:p w14:paraId="56B77CF8" w14:textId="3EE9A269" w:rsidR="00DF6C90" w:rsidRDefault="00101703" w:rsidP="00101703">
      <w:pPr>
        <w:jc w:val="center"/>
        <w:rPr>
          <w:b/>
          <w:bCs/>
          <w:i/>
          <w:iCs/>
          <w:sz w:val="28"/>
          <w:szCs w:val="28"/>
        </w:rPr>
      </w:pPr>
      <w:r w:rsidRPr="006210EC">
        <w:rPr>
          <w:b/>
          <w:bCs/>
          <w:i/>
          <w:iCs/>
          <w:sz w:val="28"/>
          <w:szCs w:val="28"/>
        </w:rPr>
        <w:t xml:space="preserve"> </w:t>
      </w:r>
      <w:r w:rsidR="00361DC2" w:rsidRPr="006210EC">
        <w:rPr>
          <w:b/>
          <w:bCs/>
          <w:i/>
          <w:iCs/>
          <w:sz w:val="28"/>
          <w:szCs w:val="28"/>
        </w:rPr>
        <w:t>“How community centres enable CCCM actors to contribute to ABA approach?”</w:t>
      </w:r>
    </w:p>
    <w:p w14:paraId="1391562C" w14:textId="09704E19" w:rsidR="00B51872" w:rsidRPr="00FC2217" w:rsidRDefault="00101703" w:rsidP="00862A33">
      <w:pPr>
        <w:spacing w:after="0"/>
        <w:rPr>
          <w:color w:val="595959" w:themeColor="text1" w:themeTint="A6"/>
          <w:sz w:val="24"/>
          <w:szCs w:val="24"/>
        </w:rPr>
      </w:pPr>
      <w:r w:rsidRPr="00FC2217">
        <w:rPr>
          <w:color w:val="595959" w:themeColor="text1" w:themeTint="A6"/>
          <w:sz w:val="24"/>
          <w:szCs w:val="24"/>
        </w:rPr>
        <w:t xml:space="preserve">The upcoming webinar series (March-May) will focus on the community centre and its role in ABA approaches. </w:t>
      </w:r>
      <w:r w:rsidR="00B51872" w:rsidRPr="00FC2217">
        <w:rPr>
          <w:color w:val="595959" w:themeColor="text1" w:themeTint="A6"/>
          <w:sz w:val="24"/>
          <w:szCs w:val="24"/>
        </w:rPr>
        <w:t xml:space="preserve">The 3 webinars will focus on </w:t>
      </w:r>
      <w:r w:rsidR="00DA5A78">
        <w:rPr>
          <w:color w:val="595959" w:themeColor="text1" w:themeTint="A6"/>
          <w:sz w:val="24"/>
          <w:szCs w:val="24"/>
        </w:rPr>
        <w:t xml:space="preserve">different </w:t>
      </w:r>
      <w:r w:rsidR="00DA5A78" w:rsidRPr="00FC2217">
        <w:rPr>
          <w:color w:val="595959" w:themeColor="text1" w:themeTint="A6"/>
          <w:sz w:val="24"/>
          <w:szCs w:val="24"/>
        </w:rPr>
        <w:t>topics</w:t>
      </w:r>
      <w:r w:rsidR="00B51872" w:rsidRPr="00FC2217">
        <w:rPr>
          <w:color w:val="595959" w:themeColor="text1" w:themeTint="A6"/>
          <w:sz w:val="24"/>
          <w:szCs w:val="24"/>
        </w:rPr>
        <w:t>:</w:t>
      </w:r>
    </w:p>
    <w:p w14:paraId="52F4B7C7" w14:textId="66BDDB13" w:rsidR="00B51872" w:rsidRPr="00FC2217" w:rsidRDefault="00B51872" w:rsidP="00862A33">
      <w:pPr>
        <w:pStyle w:val="ListParagraph"/>
        <w:numPr>
          <w:ilvl w:val="0"/>
          <w:numId w:val="2"/>
        </w:numPr>
        <w:rPr>
          <w:rFonts w:asciiTheme="minorHAnsi" w:hAnsiTheme="minorHAnsi" w:cstheme="minorBidi"/>
          <w:color w:val="595959" w:themeColor="text1" w:themeTint="A6"/>
          <w:sz w:val="24"/>
          <w:szCs w:val="24"/>
        </w:rPr>
      </w:pPr>
      <w:r w:rsidRPr="00FC2217">
        <w:rPr>
          <w:rFonts w:asciiTheme="minorHAnsi" w:hAnsiTheme="minorHAnsi" w:cstheme="minorBidi"/>
          <w:color w:val="595959" w:themeColor="text1" w:themeTint="A6"/>
          <w:sz w:val="24"/>
          <w:szCs w:val="24"/>
        </w:rPr>
        <w:t xml:space="preserve">Community Centres as physical places, establishing “safe </w:t>
      </w:r>
      <w:r w:rsidR="00DA5A78" w:rsidRPr="00FC2217">
        <w:rPr>
          <w:rFonts w:asciiTheme="minorHAnsi" w:hAnsiTheme="minorHAnsi" w:cstheme="minorBidi"/>
          <w:color w:val="595959" w:themeColor="text1" w:themeTint="A6"/>
          <w:sz w:val="24"/>
          <w:szCs w:val="24"/>
        </w:rPr>
        <w:t>spaces” for</w:t>
      </w:r>
      <w:r w:rsidRPr="00FC2217">
        <w:rPr>
          <w:rFonts w:asciiTheme="minorHAnsi" w:hAnsiTheme="minorHAnsi" w:cstheme="minorBidi"/>
          <w:color w:val="595959" w:themeColor="text1" w:themeTint="A6"/>
          <w:sz w:val="24"/>
          <w:szCs w:val="24"/>
        </w:rPr>
        <w:t xml:space="preserve"> and within communities,</w:t>
      </w:r>
    </w:p>
    <w:p w14:paraId="36F8009A" w14:textId="77777777" w:rsidR="00B51872" w:rsidRPr="00FC2217" w:rsidRDefault="00B51872" w:rsidP="00862A33">
      <w:pPr>
        <w:pStyle w:val="ListParagraph"/>
        <w:numPr>
          <w:ilvl w:val="0"/>
          <w:numId w:val="2"/>
        </w:numPr>
        <w:rPr>
          <w:rFonts w:asciiTheme="minorHAnsi" w:hAnsiTheme="minorHAnsi" w:cstheme="minorBidi"/>
          <w:color w:val="595959" w:themeColor="text1" w:themeTint="A6"/>
          <w:sz w:val="24"/>
          <w:szCs w:val="24"/>
        </w:rPr>
      </w:pPr>
      <w:r w:rsidRPr="00FC2217">
        <w:rPr>
          <w:rFonts w:asciiTheme="minorHAnsi" w:hAnsiTheme="minorHAnsi" w:cstheme="minorBidi"/>
          <w:color w:val="595959" w:themeColor="text1" w:themeTint="A6"/>
          <w:sz w:val="24"/>
          <w:szCs w:val="24"/>
        </w:rPr>
        <w:t>Community Centres and Mobile Modalities,</w:t>
      </w:r>
    </w:p>
    <w:p w14:paraId="64B15694" w14:textId="0F30085F" w:rsidR="00B51872" w:rsidRPr="00FC2217" w:rsidRDefault="00B51872" w:rsidP="00862A33">
      <w:pPr>
        <w:pStyle w:val="ListParagraph"/>
        <w:numPr>
          <w:ilvl w:val="0"/>
          <w:numId w:val="2"/>
        </w:numPr>
        <w:rPr>
          <w:rFonts w:asciiTheme="minorHAnsi" w:hAnsiTheme="minorHAnsi" w:cstheme="minorBidi"/>
          <w:color w:val="595959" w:themeColor="text1" w:themeTint="A6"/>
          <w:sz w:val="24"/>
          <w:szCs w:val="24"/>
        </w:rPr>
      </w:pPr>
      <w:r w:rsidRPr="00FC2217">
        <w:rPr>
          <w:rFonts w:asciiTheme="minorHAnsi" w:hAnsiTheme="minorHAnsi" w:cstheme="minorBidi"/>
          <w:color w:val="595959" w:themeColor="text1" w:themeTint="A6"/>
          <w:sz w:val="24"/>
          <w:szCs w:val="24"/>
        </w:rPr>
        <w:t>Community Centres and Handover.</w:t>
      </w:r>
    </w:p>
    <w:p w14:paraId="40BDD2E5" w14:textId="77777777" w:rsidR="00101703" w:rsidRPr="00FC2217" w:rsidRDefault="00101703" w:rsidP="00101703">
      <w:pPr>
        <w:pStyle w:val="ListParagraph"/>
        <w:rPr>
          <w:rFonts w:asciiTheme="minorHAnsi" w:hAnsiTheme="minorHAnsi" w:cstheme="minorBidi"/>
          <w:color w:val="595959" w:themeColor="text1" w:themeTint="A6"/>
          <w:sz w:val="24"/>
          <w:szCs w:val="24"/>
        </w:rPr>
      </w:pPr>
    </w:p>
    <w:p w14:paraId="65654CB6" w14:textId="0287B234" w:rsidR="00101703" w:rsidRPr="00FC2217" w:rsidRDefault="00101703" w:rsidP="00101703">
      <w:pPr>
        <w:jc w:val="both"/>
        <w:rPr>
          <w:color w:val="595959" w:themeColor="text1" w:themeTint="A6"/>
          <w:sz w:val="24"/>
          <w:szCs w:val="24"/>
        </w:rPr>
      </w:pPr>
      <w:r w:rsidRPr="00FC2217">
        <w:rPr>
          <w:color w:val="595959" w:themeColor="text1" w:themeTint="A6"/>
          <w:sz w:val="24"/>
          <w:szCs w:val="24"/>
        </w:rPr>
        <w:t xml:space="preserve">Each of the three webinars will </w:t>
      </w:r>
      <w:r w:rsidR="00FC2217" w:rsidRPr="00FC2217">
        <w:rPr>
          <w:color w:val="595959" w:themeColor="text1" w:themeTint="A6"/>
          <w:sz w:val="24"/>
          <w:szCs w:val="24"/>
        </w:rPr>
        <w:t>explore</w:t>
      </w:r>
      <w:r w:rsidRPr="00FC2217">
        <w:rPr>
          <w:color w:val="595959" w:themeColor="text1" w:themeTint="A6"/>
          <w:sz w:val="24"/>
          <w:szCs w:val="24"/>
        </w:rPr>
        <w:t xml:space="preserve"> </w:t>
      </w:r>
      <w:r w:rsidR="00FC2217" w:rsidRPr="00FC2217">
        <w:rPr>
          <w:color w:val="595959" w:themeColor="text1" w:themeTint="A6"/>
          <w:sz w:val="24"/>
          <w:szCs w:val="24"/>
        </w:rPr>
        <w:t xml:space="preserve">different typologies and functions of Community Centres </w:t>
      </w:r>
      <w:r w:rsidRPr="00FC2217">
        <w:rPr>
          <w:color w:val="595959" w:themeColor="text1" w:themeTint="A6"/>
          <w:sz w:val="24"/>
          <w:szCs w:val="24"/>
        </w:rPr>
        <w:t>in area-based responses</w:t>
      </w:r>
      <w:r w:rsidR="00FC2217" w:rsidRPr="00FC2217">
        <w:rPr>
          <w:color w:val="595959" w:themeColor="text1" w:themeTint="A6"/>
          <w:sz w:val="24"/>
          <w:szCs w:val="24"/>
        </w:rPr>
        <w:t xml:space="preserve"> (non-camp setting). </w:t>
      </w:r>
      <w:r w:rsidRPr="00FC2217">
        <w:rPr>
          <w:color w:val="595959" w:themeColor="text1" w:themeTint="A6"/>
          <w:sz w:val="24"/>
          <w:szCs w:val="24"/>
        </w:rPr>
        <w:t xml:space="preserve"> </w:t>
      </w:r>
      <w:r w:rsidR="00FC2217" w:rsidRPr="00FC2217">
        <w:rPr>
          <w:color w:val="595959" w:themeColor="text1" w:themeTint="A6"/>
          <w:sz w:val="24"/>
          <w:szCs w:val="24"/>
        </w:rPr>
        <w:t xml:space="preserve">A variety of CCCM actors </w:t>
      </w:r>
      <w:r w:rsidR="00FC2217">
        <w:rPr>
          <w:color w:val="595959" w:themeColor="text1" w:themeTint="A6"/>
          <w:sz w:val="24"/>
          <w:szCs w:val="24"/>
        </w:rPr>
        <w:t>will present their experiences and learning</w:t>
      </w:r>
      <w:r w:rsidR="00DA5A78">
        <w:rPr>
          <w:color w:val="595959" w:themeColor="text1" w:themeTint="A6"/>
          <w:sz w:val="24"/>
          <w:szCs w:val="24"/>
        </w:rPr>
        <w:t>s</w:t>
      </w:r>
      <w:r w:rsidRPr="00FC2217">
        <w:rPr>
          <w:color w:val="595959" w:themeColor="text1" w:themeTint="A6"/>
          <w:sz w:val="24"/>
          <w:szCs w:val="24"/>
        </w:rPr>
        <w:t xml:space="preserve"> </w:t>
      </w:r>
      <w:r w:rsidR="00FC2217">
        <w:rPr>
          <w:color w:val="595959" w:themeColor="text1" w:themeTint="A6"/>
          <w:sz w:val="24"/>
          <w:szCs w:val="24"/>
        </w:rPr>
        <w:t>utilising</w:t>
      </w:r>
      <w:r w:rsidRPr="00FC2217">
        <w:rPr>
          <w:color w:val="595959" w:themeColor="text1" w:themeTint="A6"/>
          <w:sz w:val="24"/>
          <w:szCs w:val="24"/>
        </w:rPr>
        <w:t xml:space="preserve"> the community centres within their country programs</w:t>
      </w:r>
      <w:r w:rsidR="00DA5A78">
        <w:rPr>
          <w:color w:val="595959" w:themeColor="text1" w:themeTint="A6"/>
          <w:sz w:val="24"/>
          <w:szCs w:val="24"/>
        </w:rPr>
        <w:t>. We ill explore</w:t>
      </w:r>
      <w:r w:rsidRPr="00FC2217">
        <w:rPr>
          <w:color w:val="595959" w:themeColor="text1" w:themeTint="A6"/>
          <w:sz w:val="24"/>
          <w:szCs w:val="24"/>
        </w:rPr>
        <w:t xml:space="preserve"> </w:t>
      </w:r>
      <w:r w:rsidR="00DA5A78">
        <w:rPr>
          <w:color w:val="595959" w:themeColor="text1" w:themeTint="A6"/>
          <w:sz w:val="24"/>
          <w:szCs w:val="24"/>
        </w:rPr>
        <w:t>how</w:t>
      </w:r>
      <w:r w:rsidRPr="00FC2217">
        <w:rPr>
          <w:color w:val="595959" w:themeColor="text1" w:themeTint="A6"/>
          <w:sz w:val="24"/>
          <w:szCs w:val="24"/>
        </w:rPr>
        <w:t xml:space="preserve"> the community centres contributed to implement </w:t>
      </w:r>
      <w:r w:rsidR="00FC2217" w:rsidRPr="00FC2217">
        <w:rPr>
          <w:color w:val="595959" w:themeColor="text1" w:themeTint="A6"/>
          <w:sz w:val="24"/>
          <w:szCs w:val="24"/>
        </w:rPr>
        <w:t>CC</w:t>
      </w:r>
      <w:r w:rsidRPr="00FC2217">
        <w:rPr>
          <w:color w:val="595959" w:themeColor="text1" w:themeTint="A6"/>
          <w:sz w:val="24"/>
          <w:szCs w:val="24"/>
        </w:rPr>
        <w:t xml:space="preserve">CM activities in </w:t>
      </w:r>
      <w:r w:rsidR="00FC2217" w:rsidRPr="00FC2217">
        <w:rPr>
          <w:color w:val="595959" w:themeColor="text1" w:themeTint="A6"/>
          <w:sz w:val="24"/>
          <w:szCs w:val="24"/>
        </w:rPr>
        <w:t>non-camp</w:t>
      </w:r>
      <w:r w:rsidRPr="00FC2217">
        <w:rPr>
          <w:color w:val="595959" w:themeColor="text1" w:themeTint="A6"/>
          <w:sz w:val="24"/>
          <w:szCs w:val="24"/>
        </w:rPr>
        <w:t xml:space="preserve"> displacement contexts. </w:t>
      </w:r>
    </w:p>
    <w:p w14:paraId="57A04703" w14:textId="7D5E12F0" w:rsidR="00FC2217" w:rsidRPr="00FC2217" w:rsidRDefault="00101703" w:rsidP="00101703">
      <w:pPr>
        <w:jc w:val="both"/>
        <w:rPr>
          <w:color w:val="595959" w:themeColor="text1" w:themeTint="A6"/>
          <w:sz w:val="24"/>
          <w:szCs w:val="24"/>
        </w:rPr>
      </w:pPr>
      <w:r w:rsidRPr="00FC2217">
        <w:rPr>
          <w:color w:val="595959" w:themeColor="text1" w:themeTint="A6"/>
          <w:sz w:val="24"/>
          <w:szCs w:val="24"/>
        </w:rPr>
        <w:t xml:space="preserve">The table below gives further detail on the aspects </w:t>
      </w:r>
      <w:r w:rsidR="0054571A" w:rsidRPr="00FC2217">
        <w:rPr>
          <w:color w:val="595959" w:themeColor="text1" w:themeTint="A6"/>
          <w:sz w:val="24"/>
          <w:szCs w:val="24"/>
        </w:rPr>
        <w:t>that may</w:t>
      </w:r>
      <w:r w:rsidRPr="00FC2217">
        <w:rPr>
          <w:color w:val="595959" w:themeColor="text1" w:themeTint="A6"/>
          <w:sz w:val="24"/>
          <w:szCs w:val="24"/>
        </w:rPr>
        <w:t xml:space="preserve"> be given specific attention during the presentation and form a basis for the discussion.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075"/>
        <w:gridCol w:w="2379"/>
        <w:gridCol w:w="1465"/>
        <w:gridCol w:w="4437"/>
      </w:tblGrid>
      <w:tr w:rsidR="00FC2217" w:rsidRPr="00367277" w14:paraId="4C52CF1A" w14:textId="77777777" w:rsidTr="00FC2217">
        <w:tc>
          <w:tcPr>
            <w:tcW w:w="1075" w:type="dxa"/>
          </w:tcPr>
          <w:p w14:paraId="07602B1F" w14:textId="77777777" w:rsidR="00FC2217" w:rsidRPr="00367277" w:rsidRDefault="00FC2217" w:rsidP="00FC22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</w:tcPr>
          <w:p w14:paraId="0F62E9F4" w14:textId="3D209B25" w:rsidR="00FC2217" w:rsidRPr="00367277" w:rsidRDefault="00FC2217" w:rsidP="00FC2217">
            <w:pPr>
              <w:jc w:val="center"/>
              <w:rPr>
                <w:b/>
                <w:bCs/>
                <w:sz w:val="24"/>
                <w:szCs w:val="24"/>
              </w:rPr>
            </w:pPr>
            <w:r w:rsidRPr="00367277">
              <w:rPr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1465" w:type="dxa"/>
          </w:tcPr>
          <w:p w14:paraId="60B5F720" w14:textId="11841E9E" w:rsidR="00FC2217" w:rsidRPr="00367277" w:rsidRDefault="00FC2217" w:rsidP="00FC2217">
            <w:pPr>
              <w:jc w:val="center"/>
              <w:rPr>
                <w:b/>
                <w:bCs/>
                <w:sz w:val="24"/>
                <w:szCs w:val="24"/>
              </w:rPr>
            </w:pPr>
            <w:r w:rsidRPr="00367277">
              <w:rPr>
                <w:b/>
                <w:bCs/>
                <w:sz w:val="24"/>
                <w:szCs w:val="24"/>
              </w:rPr>
              <w:t>Date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437" w:type="dxa"/>
          </w:tcPr>
          <w:p w14:paraId="02F1CE4D" w14:textId="1497412F" w:rsidR="00FC2217" w:rsidRDefault="00FC2217" w:rsidP="00FC2217">
            <w:pPr>
              <w:jc w:val="center"/>
              <w:rPr>
                <w:b/>
                <w:bCs/>
                <w:sz w:val="24"/>
                <w:szCs w:val="24"/>
              </w:rPr>
            </w:pPr>
            <w:r w:rsidRPr="00367277">
              <w:rPr>
                <w:b/>
                <w:bCs/>
                <w:sz w:val="24"/>
                <w:szCs w:val="24"/>
              </w:rPr>
              <w:t xml:space="preserve">Content of webinar </w:t>
            </w:r>
            <w:r>
              <w:rPr>
                <w:b/>
                <w:bCs/>
                <w:sz w:val="24"/>
                <w:szCs w:val="24"/>
              </w:rPr>
              <w:t>/</w:t>
            </w:r>
            <w:r w:rsidRPr="00367277">
              <w:rPr>
                <w:b/>
                <w:bCs/>
                <w:sz w:val="24"/>
                <w:szCs w:val="24"/>
              </w:rPr>
              <w:t xml:space="preserve">key </w:t>
            </w:r>
            <w:r>
              <w:rPr>
                <w:b/>
                <w:bCs/>
                <w:sz w:val="24"/>
                <w:szCs w:val="24"/>
              </w:rPr>
              <w:t xml:space="preserve">discussion </w:t>
            </w:r>
            <w:r w:rsidRPr="00367277">
              <w:rPr>
                <w:b/>
                <w:bCs/>
                <w:sz w:val="24"/>
                <w:szCs w:val="24"/>
              </w:rPr>
              <w:t>points</w:t>
            </w:r>
          </w:p>
          <w:p w14:paraId="3FD67D63" w14:textId="4F40C5D1" w:rsidR="00FC2217" w:rsidRPr="00367277" w:rsidRDefault="00FC2217" w:rsidP="00FC22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C2217" w:rsidRPr="00367277" w14:paraId="25C6CDFD" w14:textId="77777777" w:rsidTr="00FC2217">
        <w:tc>
          <w:tcPr>
            <w:tcW w:w="1075" w:type="dxa"/>
          </w:tcPr>
          <w:p w14:paraId="1FE00432" w14:textId="77777777" w:rsidR="00FC2217" w:rsidRPr="00367277" w:rsidRDefault="00FC2217" w:rsidP="00602CF9">
            <w:pPr>
              <w:rPr>
                <w:b/>
                <w:bCs/>
                <w:sz w:val="24"/>
                <w:szCs w:val="24"/>
              </w:rPr>
            </w:pPr>
            <w:r w:rsidRPr="00367277">
              <w:rPr>
                <w:b/>
                <w:bCs/>
                <w:sz w:val="24"/>
                <w:szCs w:val="24"/>
              </w:rPr>
              <w:t>Webinar 1</w:t>
            </w:r>
          </w:p>
        </w:tc>
        <w:tc>
          <w:tcPr>
            <w:tcW w:w="2379" w:type="dxa"/>
          </w:tcPr>
          <w:p w14:paraId="73F72A22" w14:textId="50A580FB" w:rsidR="00FC2217" w:rsidRPr="00367277" w:rsidRDefault="00FC2217" w:rsidP="00122FFA">
            <w:pPr>
              <w:rPr>
                <w:b/>
                <w:bCs/>
                <w:sz w:val="24"/>
                <w:szCs w:val="24"/>
              </w:rPr>
            </w:pPr>
            <w:r w:rsidRPr="00367277">
              <w:rPr>
                <w:b/>
                <w:bCs/>
                <w:color w:val="000000"/>
                <w:sz w:val="14"/>
                <w:szCs w:val="14"/>
              </w:rPr>
              <w:t> </w:t>
            </w:r>
            <w:r w:rsidRPr="00367277">
              <w:rPr>
                <w:b/>
                <w:bCs/>
                <w:color w:val="000000"/>
              </w:rPr>
              <w:t xml:space="preserve">Community Center as “Safe Space” </w:t>
            </w:r>
          </w:p>
          <w:p w14:paraId="700DAD48" w14:textId="52B448E8" w:rsidR="00FC2217" w:rsidRPr="00367277" w:rsidRDefault="00FC2217" w:rsidP="00602CF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65" w:type="dxa"/>
          </w:tcPr>
          <w:p w14:paraId="0F43A87B" w14:textId="77777777" w:rsidR="00FC2217" w:rsidRPr="00367277" w:rsidRDefault="00FC2217" w:rsidP="00602CF9">
            <w:pPr>
              <w:rPr>
                <w:sz w:val="24"/>
                <w:szCs w:val="24"/>
                <w:highlight w:val="yellow"/>
              </w:rPr>
            </w:pPr>
          </w:p>
          <w:p w14:paraId="57BD890F" w14:textId="076A2CC1" w:rsidR="00FC2217" w:rsidRPr="00367277" w:rsidRDefault="00FC2217" w:rsidP="00602CF9">
            <w:pPr>
              <w:rPr>
                <w:sz w:val="24"/>
                <w:szCs w:val="24"/>
              </w:rPr>
            </w:pPr>
            <w:r w:rsidRPr="00367277">
              <w:rPr>
                <w:sz w:val="24"/>
                <w:szCs w:val="24"/>
                <w:highlight w:val="yellow"/>
              </w:rPr>
              <w:t>Thur. 26</w:t>
            </w:r>
            <w:r w:rsidRPr="00367277">
              <w:rPr>
                <w:sz w:val="24"/>
                <w:szCs w:val="24"/>
                <w:highlight w:val="yellow"/>
                <w:vertAlign w:val="superscript"/>
              </w:rPr>
              <w:t>th</w:t>
            </w:r>
            <w:r w:rsidRPr="00367277">
              <w:rPr>
                <w:sz w:val="24"/>
                <w:szCs w:val="24"/>
                <w:highlight w:val="yellow"/>
              </w:rPr>
              <w:t xml:space="preserve"> March</w:t>
            </w:r>
          </w:p>
        </w:tc>
        <w:tc>
          <w:tcPr>
            <w:tcW w:w="4437" w:type="dxa"/>
          </w:tcPr>
          <w:p w14:paraId="6D40B4B1" w14:textId="76656017" w:rsidR="00FC2217" w:rsidRPr="00367277" w:rsidRDefault="00FC2217" w:rsidP="006210EC">
            <w:pPr>
              <w:pStyle w:val="ListParagraph"/>
              <w:numPr>
                <w:ilvl w:val="1"/>
                <w:numId w:val="1"/>
              </w:numPr>
              <w:spacing w:after="160" w:line="235" w:lineRule="atLeast"/>
              <w:ind w:left="136" w:hanging="142"/>
              <w:rPr>
                <w:rFonts w:asciiTheme="minorHAnsi" w:eastAsia="Times New Roman" w:hAnsiTheme="minorHAnsi"/>
                <w:color w:val="000000"/>
              </w:rPr>
            </w:pPr>
            <w:r w:rsidRPr="00367277">
              <w:rPr>
                <w:rFonts w:asciiTheme="minorHAnsi" w:eastAsia="Times New Roman" w:hAnsiTheme="minorHAnsi"/>
                <w:color w:val="000000"/>
              </w:rPr>
              <w:t>The CC is a meeting point between service providers and communities – How is this achieved? What steps were taken?</w:t>
            </w:r>
          </w:p>
          <w:p w14:paraId="5FB526B5" w14:textId="7A8819C1" w:rsidR="00FC2217" w:rsidRPr="00367277" w:rsidRDefault="00FC2217" w:rsidP="00BA50C2">
            <w:pPr>
              <w:pStyle w:val="ListParagraph"/>
              <w:numPr>
                <w:ilvl w:val="1"/>
                <w:numId w:val="1"/>
              </w:numPr>
              <w:spacing w:after="160" w:line="235" w:lineRule="atLeast"/>
              <w:ind w:left="136" w:hanging="136"/>
              <w:rPr>
                <w:rFonts w:asciiTheme="minorHAnsi" w:eastAsia="Times New Roman" w:hAnsiTheme="minorHAnsi"/>
                <w:color w:val="000000"/>
              </w:rPr>
            </w:pPr>
            <w:r w:rsidRPr="00367277">
              <w:rPr>
                <w:rFonts w:asciiTheme="minorHAnsi" w:eastAsia="Times New Roman" w:hAnsiTheme="minorHAnsi"/>
                <w:color w:val="000000"/>
              </w:rPr>
              <w:t>The CC is a space for coordination between humanitarian actors, local authorities, communities’ representatives to establishing lasting connections. How was that done?</w:t>
            </w:r>
          </w:p>
          <w:p w14:paraId="38953BC2" w14:textId="252940BC" w:rsidR="00FC2217" w:rsidRPr="00367277" w:rsidRDefault="00FC2217" w:rsidP="00BA50C2">
            <w:pPr>
              <w:pStyle w:val="ListParagraph"/>
              <w:numPr>
                <w:ilvl w:val="1"/>
                <w:numId w:val="1"/>
              </w:numPr>
              <w:spacing w:after="160" w:line="235" w:lineRule="atLeast"/>
              <w:ind w:left="151" w:hanging="151"/>
              <w:rPr>
                <w:rFonts w:asciiTheme="minorHAnsi" w:eastAsia="Times New Roman" w:hAnsiTheme="minorHAnsi"/>
                <w:color w:val="000000"/>
              </w:rPr>
            </w:pPr>
            <w:r w:rsidRPr="00367277">
              <w:rPr>
                <w:rFonts w:asciiTheme="minorHAnsi" w:eastAsia="Times New Roman" w:hAnsiTheme="minorHAnsi"/>
                <w:color w:val="000000"/>
              </w:rPr>
              <w:t>The CC is a “Safe Space” for communities to meet (different communities/ women’s group/ youth/ with host communities/ etc.), to socialise, to provide opportunities for integration, for building representation structures. How was this achieved?</w:t>
            </w:r>
          </w:p>
          <w:p w14:paraId="2E4A226F" w14:textId="736668D5" w:rsidR="00FC2217" w:rsidRPr="00367277" w:rsidRDefault="00FC2217" w:rsidP="00602CF9">
            <w:pPr>
              <w:pStyle w:val="ListParagraph"/>
              <w:numPr>
                <w:ilvl w:val="1"/>
                <w:numId w:val="1"/>
              </w:numPr>
              <w:spacing w:after="160" w:line="235" w:lineRule="atLeast"/>
              <w:ind w:left="136" w:hanging="142"/>
              <w:rPr>
                <w:rFonts w:asciiTheme="minorHAnsi" w:eastAsia="Times New Roman" w:hAnsiTheme="minorHAnsi"/>
                <w:color w:val="000000"/>
              </w:rPr>
            </w:pPr>
            <w:r w:rsidRPr="00367277">
              <w:rPr>
                <w:rFonts w:asciiTheme="minorHAnsi" w:eastAsia="Times New Roman" w:hAnsiTheme="minorHAnsi"/>
                <w:color w:val="000000"/>
              </w:rPr>
              <w:t xml:space="preserve">How is information providing and feedback/complaints collect? </w:t>
            </w:r>
          </w:p>
          <w:p w14:paraId="7C8EE2BD" w14:textId="2FD75BEC" w:rsidR="00FC2217" w:rsidRPr="00367277" w:rsidRDefault="00FC2217" w:rsidP="00602CF9">
            <w:pPr>
              <w:pStyle w:val="ListParagraph"/>
              <w:numPr>
                <w:ilvl w:val="1"/>
                <w:numId w:val="1"/>
              </w:numPr>
              <w:spacing w:after="160" w:line="235" w:lineRule="atLeast"/>
              <w:ind w:left="151" w:hanging="151"/>
              <w:rPr>
                <w:rFonts w:asciiTheme="minorHAnsi" w:eastAsia="Times New Roman" w:hAnsiTheme="minorHAnsi"/>
                <w:color w:val="000000"/>
              </w:rPr>
            </w:pPr>
            <w:r w:rsidRPr="00367277">
              <w:rPr>
                <w:rFonts w:asciiTheme="minorHAnsi" w:eastAsia="Times New Roman" w:hAnsiTheme="minorHAnsi"/>
                <w:color w:val="000000"/>
              </w:rPr>
              <w:lastRenderedPageBreak/>
              <w:t>How do we engage the relevant community in the process? in setting up/ in management</w:t>
            </w:r>
            <w:r>
              <w:rPr>
                <w:rFonts w:asciiTheme="minorHAnsi" w:eastAsia="Times New Roman" w:hAnsiTheme="minorHAnsi"/>
                <w:color w:val="000000"/>
              </w:rPr>
              <w:t xml:space="preserve"> </w:t>
            </w:r>
            <w:r w:rsidRPr="00367277">
              <w:rPr>
                <w:rFonts w:asciiTheme="minorHAnsi" w:eastAsia="Times New Roman" w:hAnsiTheme="minorHAnsi"/>
                <w:color w:val="000000"/>
              </w:rPr>
              <w:t xml:space="preserve">/ in hand over, etc. </w:t>
            </w:r>
          </w:p>
          <w:p w14:paraId="31D9664A" w14:textId="306125C1" w:rsidR="00FC2217" w:rsidRPr="00367277" w:rsidRDefault="00FC2217" w:rsidP="00602CF9">
            <w:pPr>
              <w:pStyle w:val="ListParagraph"/>
              <w:numPr>
                <w:ilvl w:val="1"/>
                <w:numId w:val="1"/>
              </w:numPr>
              <w:spacing w:after="160" w:line="235" w:lineRule="atLeast"/>
              <w:ind w:left="151" w:hanging="151"/>
              <w:rPr>
                <w:rFonts w:asciiTheme="minorHAnsi" w:eastAsia="Times New Roman" w:hAnsiTheme="minorHAnsi"/>
                <w:color w:val="000000"/>
              </w:rPr>
            </w:pPr>
            <w:r w:rsidRPr="00367277">
              <w:rPr>
                <w:rFonts w:asciiTheme="minorHAnsi" w:eastAsia="Times New Roman" w:hAnsiTheme="minorHAnsi"/>
                <w:color w:val="000000"/>
              </w:rPr>
              <w:t xml:space="preserve">What are the </w:t>
            </w:r>
            <w:r>
              <w:rPr>
                <w:rFonts w:asciiTheme="minorHAnsi" w:eastAsia="Times New Roman" w:hAnsiTheme="minorHAnsi"/>
                <w:color w:val="000000"/>
              </w:rPr>
              <w:t>p</w:t>
            </w:r>
            <w:r w:rsidRPr="00367277">
              <w:rPr>
                <w:rFonts w:asciiTheme="minorHAnsi" w:eastAsia="Times New Roman" w:hAnsiTheme="minorHAnsi"/>
                <w:color w:val="000000"/>
              </w:rPr>
              <w:t>hysical features/layout</w:t>
            </w:r>
            <w:r>
              <w:rPr>
                <w:rFonts w:asciiTheme="minorHAnsi" w:eastAsia="Times New Roman" w:hAnsiTheme="minorHAnsi"/>
                <w:color w:val="000000"/>
              </w:rPr>
              <w:t>/facilities</w:t>
            </w:r>
            <w:r w:rsidRPr="00367277">
              <w:rPr>
                <w:rFonts w:asciiTheme="minorHAnsi" w:eastAsia="Times New Roman" w:hAnsiTheme="minorHAnsi"/>
                <w:color w:val="000000"/>
              </w:rPr>
              <w:t xml:space="preserve"> of the CC? (how it looks like, what facilities it has)</w:t>
            </w:r>
          </w:p>
          <w:p w14:paraId="146FE599" w14:textId="77777777" w:rsidR="00FC2217" w:rsidRDefault="00FC2217" w:rsidP="00BA50C2">
            <w:pPr>
              <w:pStyle w:val="ListParagraph"/>
              <w:numPr>
                <w:ilvl w:val="1"/>
                <w:numId w:val="1"/>
              </w:numPr>
              <w:spacing w:after="160" w:line="235" w:lineRule="atLeast"/>
              <w:ind w:left="151" w:hanging="151"/>
              <w:rPr>
                <w:rFonts w:asciiTheme="minorHAnsi" w:eastAsia="Times New Roman" w:hAnsiTheme="minorHAnsi"/>
                <w:color w:val="000000"/>
              </w:rPr>
            </w:pPr>
            <w:r w:rsidRPr="00367277">
              <w:rPr>
                <w:rFonts w:asciiTheme="minorHAnsi" w:eastAsia="Times New Roman" w:hAnsiTheme="minorHAnsi"/>
                <w:color w:val="000000"/>
              </w:rPr>
              <w:t>Where are the CC located within the neighbourhoods- “the area”/ accessing them/ What to avoid in layout and locating?</w:t>
            </w:r>
          </w:p>
          <w:p w14:paraId="3F6B4604" w14:textId="45CC445C" w:rsidR="00FC2217" w:rsidRPr="00367277" w:rsidRDefault="00FC2217" w:rsidP="00BA50C2">
            <w:pPr>
              <w:pStyle w:val="ListParagraph"/>
              <w:numPr>
                <w:ilvl w:val="1"/>
                <w:numId w:val="1"/>
              </w:numPr>
              <w:spacing w:after="160" w:line="235" w:lineRule="atLeast"/>
              <w:ind w:left="151" w:hanging="151"/>
              <w:rPr>
                <w:rFonts w:asciiTheme="minorHAnsi" w:eastAsia="Times New Roman" w:hAnsiTheme="minorHAnsi"/>
                <w:color w:val="000000"/>
              </w:rPr>
            </w:pPr>
            <w:r w:rsidRPr="00367277">
              <w:rPr>
                <w:rFonts w:asciiTheme="minorHAnsi" w:hAnsiTheme="minorHAnsi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W</w:t>
            </w:r>
            <w:r w:rsidRPr="00367277">
              <w:rPr>
                <w:rFonts w:asciiTheme="minorHAnsi" w:hAnsiTheme="minorHAnsi"/>
                <w:sz w:val="24"/>
                <w:szCs w:val="24"/>
              </w:rPr>
              <w:t>hat were the challenges</w:t>
            </w:r>
            <w:r>
              <w:rPr>
                <w:rFonts w:asciiTheme="minorHAnsi" w:hAnsiTheme="minorHAnsi"/>
                <w:sz w:val="24"/>
                <w:szCs w:val="24"/>
              </w:rPr>
              <w:t>?</w:t>
            </w:r>
          </w:p>
        </w:tc>
      </w:tr>
      <w:tr w:rsidR="00FC2217" w:rsidRPr="00367277" w14:paraId="69FF9901" w14:textId="77777777" w:rsidTr="00FC2217">
        <w:tc>
          <w:tcPr>
            <w:tcW w:w="1075" w:type="dxa"/>
          </w:tcPr>
          <w:p w14:paraId="56D93182" w14:textId="77777777" w:rsidR="00FC2217" w:rsidRPr="00367277" w:rsidRDefault="00FC2217" w:rsidP="00602CF9">
            <w:pPr>
              <w:rPr>
                <w:b/>
                <w:bCs/>
                <w:sz w:val="24"/>
                <w:szCs w:val="24"/>
              </w:rPr>
            </w:pPr>
            <w:r w:rsidRPr="00367277">
              <w:rPr>
                <w:b/>
                <w:bCs/>
                <w:sz w:val="24"/>
                <w:szCs w:val="24"/>
              </w:rPr>
              <w:lastRenderedPageBreak/>
              <w:t>Webinar 2</w:t>
            </w:r>
          </w:p>
        </w:tc>
        <w:tc>
          <w:tcPr>
            <w:tcW w:w="2379" w:type="dxa"/>
          </w:tcPr>
          <w:p w14:paraId="654D36D2" w14:textId="0C720E23" w:rsidR="00FC2217" w:rsidRPr="00367277" w:rsidRDefault="00FC2217" w:rsidP="00602CF9">
            <w:pPr>
              <w:rPr>
                <w:b/>
                <w:bCs/>
                <w:sz w:val="24"/>
                <w:szCs w:val="24"/>
              </w:rPr>
            </w:pPr>
            <w:r w:rsidRPr="00367277">
              <w:rPr>
                <w:b/>
                <w:bCs/>
                <w:color w:val="000000"/>
                <w:sz w:val="24"/>
                <w:szCs w:val="24"/>
              </w:rPr>
              <w:t xml:space="preserve">Community Center and Mobile Modalities </w:t>
            </w:r>
          </w:p>
        </w:tc>
        <w:tc>
          <w:tcPr>
            <w:tcW w:w="1465" w:type="dxa"/>
          </w:tcPr>
          <w:p w14:paraId="48B5F44E" w14:textId="77777777" w:rsidR="00FC2217" w:rsidRPr="00367277" w:rsidRDefault="00FC2217" w:rsidP="00602CF9">
            <w:pPr>
              <w:rPr>
                <w:sz w:val="24"/>
                <w:szCs w:val="24"/>
                <w:highlight w:val="yellow"/>
              </w:rPr>
            </w:pPr>
          </w:p>
          <w:p w14:paraId="636A6CEF" w14:textId="6304C2E7" w:rsidR="00FC2217" w:rsidRPr="00367277" w:rsidRDefault="00FC2217" w:rsidP="00602CF9">
            <w:pPr>
              <w:rPr>
                <w:sz w:val="24"/>
                <w:szCs w:val="24"/>
              </w:rPr>
            </w:pPr>
            <w:r w:rsidRPr="00367277">
              <w:rPr>
                <w:sz w:val="24"/>
                <w:szCs w:val="24"/>
                <w:highlight w:val="yellow"/>
              </w:rPr>
              <w:t>23</w:t>
            </w:r>
            <w:r w:rsidRPr="00367277">
              <w:rPr>
                <w:sz w:val="24"/>
                <w:szCs w:val="24"/>
                <w:highlight w:val="yellow"/>
                <w:vertAlign w:val="superscript"/>
              </w:rPr>
              <w:t>rd</w:t>
            </w:r>
            <w:r w:rsidRPr="00367277">
              <w:rPr>
                <w:sz w:val="24"/>
                <w:szCs w:val="24"/>
                <w:highlight w:val="yellow"/>
              </w:rPr>
              <w:t xml:space="preserve"> April</w:t>
            </w:r>
            <w:r w:rsidRPr="0036727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37" w:type="dxa"/>
          </w:tcPr>
          <w:p w14:paraId="04E1F61A" w14:textId="7F385600" w:rsidR="00FC2217" w:rsidRPr="00367277" w:rsidRDefault="00FC2217" w:rsidP="00602CF9">
            <w:pPr>
              <w:rPr>
                <w:color w:val="000000"/>
              </w:rPr>
            </w:pPr>
            <w:r w:rsidRPr="00367277">
              <w:rPr>
                <w:color w:val="000000"/>
              </w:rPr>
              <w:t>-What complementary activities and Outreach were implemented (Outreach teams</w:t>
            </w:r>
            <w:proofErr w:type="gramStart"/>
            <w:r w:rsidRPr="00367277">
              <w:rPr>
                <w:color w:val="000000"/>
              </w:rPr>
              <w:t>) ?</w:t>
            </w:r>
            <w:proofErr w:type="gramEnd"/>
            <w:r w:rsidRPr="00367277">
              <w:rPr>
                <w:color w:val="000000"/>
              </w:rPr>
              <w:t xml:space="preserve"> How was that organised (composition of Mobile team)?</w:t>
            </w:r>
          </w:p>
          <w:p w14:paraId="6BAAFEC9" w14:textId="126161DE" w:rsidR="00FC2217" w:rsidRPr="00367277" w:rsidRDefault="00FC2217" w:rsidP="00602CF9">
            <w:r w:rsidRPr="00367277">
              <w:t>-Were specific neighbourhoods targeting within the overall area?</w:t>
            </w:r>
          </w:p>
          <w:p w14:paraId="3CF44F33" w14:textId="77777777" w:rsidR="00FC2217" w:rsidRPr="00367277" w:rsidRDefault="00FC2217" w:rsidP="00602CF9"/>
          <w:p w14:paraId="301DFE60" w14:textId="7B46AF66" w:rsidR="00FC2217" w:rsidRPr="00367277" w:rsidRDefault="00FC2217" w:rsidP="00602CF9">
            <w:r w:rsidRPr="00367277">
              <w:t>- “hard to reach areas”- how to access? (beneficiaries that have limited mobility/lack of access)</w:t>
            </w:r>
          </w:p>
          <w:p w14:paraId="2762D4F4" w14:textId="77777777" w:rsidR="00FC2217" w:rsidRPr="00367277" w:rsidRDefault="00FC2217" w:rsidP="00602CF9"/>
          <w:p w14:paraId="722AE109" w14:textId="61C3E074" w:rsidR="00FC2217" w:rsidRPr="00367277" w:rsidRDefault="00FC2217" w:rsidP="00602CF9">
            <w:pPr>
              <w:rPr>
                <w:rFonts w:eastAsia="Times New Roman"/>
                <w:color w:val="000000"/>
              </w:rPr>
            </w:pPr>
            <w:r w:rsidRPr="00367277">
              <w:t>-</w:t>
            </w:r>
            <w:r w:rsidRPr="00367277">
              <w:rPr>
                <w:rFonts w:eastAsia="Times New Roman"/>
                <w:color w:val="000000"/>
              </w:rPr>
              <w:t xml:space="preserve"> How do we engage the relevant community in the process? in the setting up/ in the management/ in the hand over processes, etc.</w:t>
            </w:r>
          </w:p>
          <w:p w14:paraId="32869A7B" w14:textId="77777777" w:rsidR="00FC2217" w:rsidRPr="00367277" w:rsidRDefault="00FC2217" w:rsidP="00602CF9">
            <w:pPr>
              <w:rPr>
                <w:rFonts w:eastAsia="Times New Roman"/>
                <w:color w:val="000000"/>
              </w:rPr>
            </w:pPr>
          </w:p>
          <w:p w14:paraId="54460A85" w14:textId="77777777" w:rsidR="00FC2217" w:rsidRPr="00367277" w:rsidRDefault="00FC2217" w:rsidP="00003CEE">
            <w:proofErr w:type="gramStart"/>
            <w:r w:rsidRPr="00367277">
              <w:t>-“</w:t>
            </w:r>
            <w:proofErr w:type="gramEnd"/>
            <w:r w:rsidRPr="00367277">
              <w:t>being on the ground”, what community structures were setting up/ beneficiary referral mechanisms</w:t>
            </w:r>
          </w:p>
          <w:p w14:paraId="19FD5FD4" w14:textId="62F1E12C" w:rsidR="00FC2217" w:rsidRPr="00367277" w:rsidRDefault="00FC2217" w:rsidP="00602CF9"/>
          <w:p w14:paraId="3236D00F" w14:textId="1E0D5ED8" w:rsidR="00FC2217" w:rsidRPr="00367277" w:rsidRDefault="00FC2217" w:rsidP="00602CF9">
            <w:r w:rsidRPr="00367277">
              <w:t>-</w:t>
            </w:r>
            <w:r>
              <w:rPr>
                <w:sz w:val="24"/>
                <w:szCs w:val="24"/>
              </w:rPr>
              <w:t>W</w:t>
            </w:r>
            <w:r w:rsidRPr="00367277">
              <w:rPr>
                <w:sz w:val="24"/>
                <w:szCs w:val="24"/>
              </w:rPr>
              <w:t>hat were the challenges</w:t>
            </w:r>
            <w:r>
              <w:rPr>
                <w:sz w:val="24"/>
                <w:szCs w:val="24"/>
              </w:rPr>
              <w:t>?</w:t>
            </w:r>
          </w:p>
          <w:p w14:paraId="285216C4" w14:textId="5BB8523B" w:rsidR="00FC2217" w:rsidRPr="00367277" w:rsidRDefault="00FC2217" w:rsidP="00602CF9">
            <w:pPr>
              <w:rPr>
                <w:sz w:val="24"/>
                <w:szCs w:val="24"/>
              </w:rPr>
            </w:pPr>
          </w:p>
        </w:tc>
      </w:tr>
      <w:tr w:rsidR="00FC2217" w:rsidRPr="00367277" w14:paraId="18AEBEC5" w14:textId="77777777" w:rsidTr="00FC2217">
        <w:tc>
          <w:tcPr>
            <w:tcW w:w="1075" w:type="dxa"/>
          </w:tcPr>
          <w:p w14:paraId="0D9D9EF2" w14:textId="77777777" w:rsidR="00FC2217" w:rsidRPr="00367277" w:rsidRDefault="00FC2217" w:rsidP="00602CF9">
            <w:pPr>
              <w:rPr>
                <w:b/>
                <w:bCs/>
                <w:sz w:val="24"/>
                <w:szCs w:val="24"/>
              </w:rPr>
            </w:pPr>
            <w:r w:rsidRPr="00367277">
              <w:rPr>
                <w:b/>
                <w:bCs/>
                <w:sz w:val="24"/>
                <w:szCs w:val="24"/>
              </w:rPr>
              <w:t>Webinar 3</w:t>
            </w:r>
          </w:p>
        </w:tc>
        <w:tc>
          <w:tcPr>
            <w:tcW w:w="2379" w:type="dxa"/>
          </w:tcPr>
          <w:p w14:paraId="72E76CBF" w14:textId="09AC71E2" w:rsidR="00FC2217" w:rsidRPr="00367277" w:rsidRDefault="00FC2217" w:rsidP="00602CF9">
            <w:pPr>
              <w:rPr>
                <w:b/>
                <w:bCs/>
                <w:sz w:val="24"/>
                <w:szCs w:val="24"/>
              </w:rPr>
            </w:pPr>
            <w:r w:rsidRPr="00367277">
              <w:rPr>
                <w:b/>
                <w:bCs/>
                <w:color w:val="000000"/>
              </w:rPr>
              <w:t>Community Center and Handover/Durable solutions   </w:t>
            </w:r>
          </w:p>
        </w:tc>
        <w:tc>
          <w:tcPr>
            <w:tcW w:w="1465" w:type="dxa"/>
          </w:tcPr>
          <w:p w14:paraId="4D6E800D" w14:textId="77777777" w:rsidR="00FC2217" w:rsidRPr="00367277" w:rsidRDefault="00FC2217" w:rsidP="00602CF9">
            <w:pPr>
              <w:rPr>
                <w:sz w:val="24"/>
                <w:szCs w:val="24"/>
              </w:rPr>
            </w:pPr>
          </w:p>
          <w:p w14:paraId="233347FE" w14:textId="6CC880DE" w:rsidR="00FC2217" w:rsidRPr="00367277" w:rsidRDefault="00FC2217" w:rsidP="00602CF9">
            <w:pPr>
              <w:rPr>
                <w:sz w:val="24"/>
                <w:szCs w:val="24"/>
              </w:rPr>
            </w:pPr>
            <w:r w:rsidRPr="00367277">
              <w:rPr>
                <w:sz w:val="24"/>
                <w:szCs w:val="24"/>
                <w:highlight w:val="yellow"/>
              </w:rPr>
              <w:t>14</w:t>
            </w:r>
            <w:r w:rsidRPr="00367277">
              <w:rPr>
                <w:sz w:val="24"/>
                <w:szCs w:val="24"/>
                <w:highlight w:val="yellow"/>
                <w:vertAlign w:val="superscript"/>
              </w:rPr>
              <w:t>th</w:t>
            </w:r>
            <w:r w:rsidRPr="00367277">
              <w:rPr>
                <w:sz w:val="24"/>
                <w:szCs w:val="24"/>
                <w:highlight w:val="yellow"/>
              </w:rPr>
              <w:t xml:space="preserve"> May</w:t>
            </w:r>
          </w:p>
        </w:tc>
        <w:tc>
          <w:tcPr>
            <w:tcW w:w="4437" w:type="dxa"/>
          </w:tcPr>
          <w:p w14:paraId="015DA9E1" w14:textId="6A0743BB" w:rsidR="00FC2217" w:rsidRDefault="00FC2217" w:rsidP="00602CF9">
            <w:pPr>
              <w:rPr>
                <w:sz w:val="24"/>
                <w:szCs w:val="24"/>
              </w:rPr>
            </w:pPr>
            <w:r w:rsidRPr="00367277">
              <w:rPr>
                <w:b/>
                <w:bCs/>
                <w:i/>
                <w:iCs/>
                <w:sz w:val="24"/>
                <w:szCs w:val="24"/>
              </w:rPr>
              <w:t>-</w:t>
            </w:r>
            <w:r w:rsidRPr="00367277">
              <w:rPr>
                <w:sz w:val="24"/>
                <w:szCs w:val="24"/>
              </w:rPr>
              <w:t>What has contributed to a “sustainable” hand-over?</w:t>
            </w:r>
          </w:p>
          <w:p w14:paraId="33BE5B1D" w14:textId="77777777" w:rsidR="00FC2217" w:rsidRPr="00367277" w:rsidRDefault="00FC2217" w:rsidP="00602CF9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014ABE9C" w14:textId="28BA3CE1" w:rsidR="00FC2217" w:rsidRDefault="00FC2217" w:rsidP="00602CF9">
            <w:pPr>
              <w:rPr>
                <w:sz w:val="24"/>
                <w:szCs w:val="24"/>
              </w:rPr>
            </w:pPr>
            <w:r w:rsidRPr="00367277">
              <w:rPr>
                <w:sz w:val="24"/>
                <w:szCs w:val="24"/>
              </w:rPr>
              <w:t>-How were exit strategies considered from the onset of the CC?</w:t>
            </w:r>
          </w:p>
          <w:p w14:paraId="0BBE594F" w14:textId="77777777" w:rsidR="00FC2217" w:rsidRPr="00367277" w:rsidRDefault="00FC2217" w:rsidP="00602CF9">
            <w:pPr>
              <w:rPr>
                <w:sz w:val="24"/>
                <w:szCs w:val="24"/>
              </w:rPr>
            </w:pPr>
          </w:p>
          <w:p w14:paraId="5789BED3" w14:textId="104381B1" w:rsidR="00FC2217" w:rsidRPr="00367277" w:rsidRDefault="00FC2217" w:rsidP="00602CF9">
            <w:pPr>
              <w:rPr>
                <w:sz w:val="24"/>
                <w:szCs w:val="24"/>
              </w:rPr>
            </w:pPr>
            <w:r w:rsidRPr="00367277">
              <w:rPr>
                <w:sz w:val="24"/>
                <w:szCs w:val="24"/>
              </w:rPr>
              <w:t xml:space="preserve">-How did the CC (and activities/ management) evolve during the program? </w:t>
            </w:r>
          </w:p>
          <w:p w14:paraId="78970734" w14:textId="2074EFD0" w:rsidR="00FC2217" w:rsidRDefault="00FC2217" w:rsidP="00602CF9">
            <w:pPr>
              <w:rPr>
                <w:rFonts w:eastAsia="Times New Roman"/>
                <w:color w:val="000000"/>
              </w:rPr>
            </w:pPr>
            <w:r w:rsidRPr="00367277">
              <w:rPr>
                <w:rFonts w:eastAsia="Times New Roman"/>
                <w:color w:val="000000"/>
              </w:rPr>
              <w:t>- How do we engage the relevant community in this hand-over process?</w:t>
            </w:r>
          </w:p>
          <w:p w14:paraId="4120B64F" w14:textId="77777777" w:rsidR="00FC2217" w:rsidRPr="00367277" w:rsidRDefault="00FC2217" w:rsidP="00602CF9">
            <w:pPr>
              <w:rPr>
                <w:sz w:val="24"/>
                <w:szCs w:val="24"/>
              </w:rPr>
            </w:pPr>
          </w:p>
          <w:p w14:paraId="2B7F1E0C" w14:textId="31154C7F" w:rsidR="00FC2217" w:rsidRPr="00367277" w:rsidRDefault="00FC2217" w:rsidP="00602CF9">
            <w:pPr>
              <w:rPr>
                <w:sz w:val="24"/>
                <w:szCs w:val="24"/>
              </w:rPr>
            </w:pPr>
            <w:r w:rsidRPr="00367277">
              <w:rPr>
                <w:sz w:val="24"/>
                <w:szCs w:val="24"/>
              </w:rPr>
              <w:lastRenderedPageBreak/>
              <w:t>-</w:t>
            </w:r>
            <w:r>
              <w:rPr>
                <w:sz w:val="24"/>
                <w:szCs w:val="24"/>
              </w:rPr>
              <w:t>W</w:t>
            </w:r>
            <w:r w:rsidRPr="00367277">
              <w:rPr>
                <w:sz w:val="24"/>
                <w:szCs w:val="24"/>
              </w:rPr>
              <w:t>hat were the challenges (e.g.: paying rent/ keeping facilities running /staffing /remaining a neutral/ safe space/ etc…)</w:t>
            </w:r>
          </w:p>
          <w:p w14:paraId="46B07A40" w14:textId="77777777" w:rsidR="00FC2217" w:rsidRPr="00367277" w:rsidRDefault="00FC2217" w:rsidP="00602CF9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40047DF0" w14:textId="77777777" w:rsidR="00DF6C90" w:rsidRDefault="00DF6C90" w:rsidP="00FC2217"/>
    <w:sectPr w:rsidR="00DF6C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C5BAE"/>
    <w:multiLevelType w:val="hybridMultilevel"/>
    <w:tmpl w:val="B8E6C410"/>
    <w:lvl w:ilvl="0" w:tplc="8968BC9C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65EA9"/>
    <w:multiLevelType w:val="hybridMultilevel"/>
    <w:tmpl w:val="A4583FA2"/>
    <w:lvl w:ilvl="0" w:tplc="E6B6983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1540BC2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C90"/>
    <w:rsid w:val="00003CEE"/>
    <w:rsid w:val="00101703"/>
    <w:rsid w:val="00122FFA"/>
    <w:rsid w:val="001C3911"/>
    <w:rsid w:val="00341C9D"/>
    <w:rsid w:val="00361DC2"/>
    <w:rsid w:val="00367277"/>
    <w:rsid w:val="004766D3"/>
    <w:rsid w:val="0054571A"/>
    <w:rsid w:val="0059189B"/>
    <w:rsid w:val="006210EC"/>
    <w:rsid w:val="00653E38"/>
    <w:rsid w:val="008600C0"/>
    <w:rsid w:val="00862A33"/>
    <w:rsid w:val="00963C75"/>
    <w:rsid w:val="00B51872"/>
    <w:rsid w:val="00BA50C2"/>
    <w:rsid w:val="00C71D49"/>
    <w:rsid w:val="00DA225F"/>
    <w:rsid w:val="00DA5A78"/>
    <w:rsid w:val="00DB1D51"/>
    <w:rsid w:val="00DF6C90"/>
    <w:rsid w:val="00EA75F2"/>
    <w:rsid w:val="00ED43A1"/>
    <w:rsid w:val="00F32B7E"/>
    <w:rsid w:val="00F613A5"/>
    <w:rsid w:val="00FA2379"/>
    <w:rsid w:val="00FC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FC1E2"/>
  <w15:chartTrackingRefBased/>
  <w15:docId w15:val="{D3364265-F4B5-4D7F-8E03-6ABE0AF0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6D3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66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66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66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766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766D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766D3"/>
    <w:pPr>
      <w:spacing w:after="0" w:line="240" w:lineRule="auto"/>
      <w:ind w:left="720"/>
    </w:pPr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DF6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A23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23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2379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3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379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379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475</Words>
  <Characters>2714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grafweg</dc:creator>
  <cp:keywords/>
  <dc:description/>
  <cp:lastModifiedBy>McDONALD Brian</cp:lastModifiedBy>
  <cp:revision>2</cp:revision>
  <dcterms:created xsi:type="dcterms:W3CDTF">2020-03-10T16:07:00Z</dcterms:created>
  <dcterms:modified xsi:type="dcterms:W3CDTF">2020-03-10T16:07:00Z</dcterms:modified>
</cp:coreProperties>
</file>