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2F3" w:rsidRPr="00F16A7E" w:rsidRDefault="004012F3" w:rsidP="00483E06">
      <w:pPr>
        <w:jc w:val="both"/>
        <w:rPr>
          <w:rFonts w:ascii="Calibri" w:hAnsi="Calibri"/>
          <w:lang w:val="es-PA"/>
        </w:rPr>
      </w:pPr>
      <w:r w:rsidRPr="00F16A7E">
        <w:rPr>
          <w:rFonts w:ascii="Calibri" w:hAnsi="Calibri"/>
          <w:b/>
          <w:sz w:val="32"/>
          <w:lang w:val="es-PA"/>
        </w:rPr>
        <w:t xml:space="preserve">11.  DISTRIBUCIÓN DE ARTÍCULOS NO ALIMENTARIOS </w:t>
      </w:r>
    </w:p>
    <w:tbl>
      <w:tblPr>
        <w:tblW w:w="9135" w:type="dxa"/>
        <w:tblBorders>
          <w:top w:val="single" w:sz="8" w:space="0" w:color="4BACC6"/>
          <w:bottom w:val="single" w:sz="8" w:space="0" w:color="4BACC6"/>
        </w:tblBorders>
        <w:tblLook w:val="0000"/>
      </w:tblPr>
      <w:tblGrid>
        <w:gridCol w:w="9135"/>
      </w:tblGrid>
      <w:tr w:rsidR="004012F3" w:rsidRPr="003529FC" w:rsidTr="00133E02">
        <w:trPr>
          <w:trHeight w:val="4035"/>
        </w:trPr>
        <w:tc>
          <w:tcPr>
            <w:tcW w:w="9135" w:type="dxa"/>
            <w:tcBorders>
              <w:top w:val="single" w:sz="8" w:space="0" w:color="4BACC6"/>
              <w:left w:val="nil"/>
              <w:bottom w:val="single" w:sz="8" w:space="0" w:color="4BACC6"/>
              <w:right w:val="nil"/>
            </w:tcBorders>
            <w:shd w:val="clear" w:color="auto" w:fill="D2EAF1"/>
          </w:tcPr>
          <w:p w:rsidR="004012F3" w:rsidRPr="00133E02" w:rsidRDefault="004012F3" w:rsidP="00133E02">
            <w:pPr>
              <w:ind w:left="156"/>
              <w:jc w:val="both"/>
              <w:rPr>
                <w:rFonts w:ascii="Calibri" w:hAnsi="Calibri"/>
                <w:b/>
                <w:color w:val="31849B"/>
                <w:lang w:val="en-US"/>
              </w:rPr>
            </w:pPr>
            <w:proofErr w:type="spellStart"/>
            <w:r w:rsidRPr="00133E02">
              <w:rPr>
                <w:rFonts w:ascii="Calibri" w:hAnsi="Calibri"/>
                <w:b/>
                <w:color w:val="31849B"/>
                <w:szCs w:val="22"/>
                <w:lang w:val="en-US"/>
              </w:rPr>
              <w:t>Mensajes</w:t>
            </w:r>
            <w:proofErr w:type="spellEnd"/>
            <w:r w:rsidRPr="00133E02">
              <w:rPr>
                <w:rFonts w:ascii="Calibri" w:hAnsi="Calibri"/>
                <w:b/>
                <w:color w:val="31849B"/>
                <w:szCs w:val="22"/>
                <w:lang w:val="en-US"/>
              </w:rPr>
              <w:t xml:space="preserve"> Clave</w:t>
            </w:r>
          </w:p>
          <w:p w:rsidR="004012F3" w:rsidRPr="00133E02" w:rsidRDefault="004012F3" w:rsidP="00133E02">
            <w:pPr>
              <w:ind w:left="156"/>
              <w:jc w:val="both"/>
              <w:rPr>
                <w:rFonts w:ascii="Calibri" w:hAnsi="Calibri"/>
                <w:color w:val="31849B"/>
                <w:lang w:val="en-US"/>
              </w:rPr>
            </w:pPr>
          </w:p>
          <w:p w:rsidR="004012F3" w:rsidRPr="00133E02" w:rsidRDefault="004012F3" w:rsidP="00133E02">
            <w:pPr>
              <w:pStyle w:val="Prrafodelista"/>
              <w:numPr>
                <w:ilvl w:val="0"/>
                <w:numId w:val="1"/>
              </w:numPr>
              <w:ind w:left="876"/>
              <w:jc w:val="both"/>
              <w:rPr>
                <w:rFonts w:ascii="Calibri" w:hAnsi="Calibri"/>
                <w:color w:val="31849B"/>
                <w:lang w:val="es-PA"/>
              </w:rPr>
            </w:pPr>
            <w:r w:rsidRPr="00133E02">
              <w:rPr>
                <w:rFonts w:ascii="Calibri" w:hAnsi="Calibri"/>
                <w:color w:val="31849B"/>
                <w:szCs w:val="22"/>
                <w:lang w:val="es-PA"/>
              </w:rPr>
              <w:t>En vista de que las necesidades de los residentes en situaciones de desplazamiento cambian con el paso del tiempo, es fundamental contar con normas mínimas para la distribución de artículos no alimentarios.</w:t>
            </w:r>
          </w:p>
          <w:p w:rsidR="004012F3" w:rsidRPr="00133E02" w:rsidRDefault="004012F3" w:rsidP="00133E02">
            <w:pPr>
              <w:pStyle w:val="Prrafodelista"/>
              <w:ind w:left="876"/>
              <w:jc w:val="both"/>
              <w:rPr>
                <w:rFonts w:ascii="Calibri" w:hAnsi="Calibri"/>
                <w:color w:val="31849B"/>
                <w:lang w:val="es-PA"/>
              </w:rPr>
            </w:pPr>
          </w:p>
          <w:p w:rsidR="004012F3" w:rsidRPr="00133E02" w:rsidRDefault="004012F3" w:rsidP="00133E02">
            <w:pPr>
              <w:pStyle w:val="Prrafodelista"/>
              <w:numPr>
                <w:ilvl w:val="0"/>
                <w:numId w:val="1"/>
              </w:numPr>
              <w:ind w:left="876"/>
              <w:jc w:val="both"/>
              <w:rPr>
                <w:rFonts w:ascii="Calibri" w:hAnsi="Calibri"/>
                <w:color w:val="31849B"/>
                <w:lang w:val="es-PA"/>
              </w:rPr>
            </w:pPr>
            <w:r w:rsidRPr="00133E02">
              <w:rPr>
                <w:rFonts w:ascii="Calibri" w:hAnsi="Calibri"/>
                <w:color w:val="31849B"/>
                <w:szCs w:val="22"/>
                <w:lang w:val="es-PA"/>
              </w:rPr>
              <w:t>En los Centros Colectivos donde existen grupos heterogéneos de población, la distribución de artículos no alimentarios puede constituir un reto. En la medida de lo posible, todos los residentes de los Centros deben beneficiarse  de dicha asistencia  en base a criterios claros, transparentes y pre-definidos para evitar posibles malentendidos y/o conflictos.</w:t>
            </w:r>
          </w:p>
          <w:p w:rsidR="004012F3" w:rsidRPr="00133E02" w:rsidRDefault="004012F3" w:rsidP="00133E02">
            <w:pPr>
              <w:pStyle w:val="Prrafodelista"/>
              <w:jc w:val="both"/>
              <w:rPr>
                <w:rFonts w:ascii="Calibri" w:hAnsi="Calibri"/>
                <w:color w:val="31849B"/>
                <w:lang w:val="es-PA"/>
              </w:rPr>
            </w:pPr>
          </w:p>
          <w:p w:rsidR="004012F3" w:rsidRPr="00133E02" w:rsidRDefault="004012F3" w:rsidP="00133E02">
            <w:pPr>
              <w:pStyle w:val="Prrafodelista"/>
              <w:numPr>
                <w:ilvl w:val="0"/>
                <w:numId w:val="1"/>
              </w:numPr>
              <w:ind w:left="876"/>
              <w:jc w:val="both"/>
              <w:rPr>
                <w:rFonts w:ascii="Calibri" w:hAnsi="Calibri"/>
                <w:b/>
                <w:lang w:val="es-PA"/>
              </w:rPr>
            </w:pPr>
            <w:r w:rsidRPr="00133E02">
              <w:rPr>
                <w:rFonts w:ascii="Calibri" w:hAnsi="Calibri"/>
                <w:color w:val="31849B"/>
                <w:szCs w:val="22"/>
                <w:lang w:val="es-PA"/>
              </w:rPr>
              <w:t>Debe llegarse a un acuerdo sobre el contenido de los paquetes de artículos no alimentarios, tomando en consideración factores de atracción y de presión.</w:t>
            </w:r>
          </w:p>
        </w:tc>
      </w:tr>
    </w:tbl>
    <w:p w:rsidR="004012F3" w:rsidRPr="00F16A7E" w:rsidRDefault="004012F3" w:rsidP="00483E06">
      <w:pPr>
        <w:pStyle w:val="Prrafodelista"/>
        <w:jc w:val="both"/>
        <w:rPr>
          <w:rFonts w:ascii="Calibri" w:hAnsi="Calibri"/>
          <w:lang w:val="es-PA"/>
        </w:rPr>
      </w:pPr>
    </w:p>
    <w:p w:rsidR="004012F3" w:rsidRPr="003529FC" w:rsidRDefault="004012F3" w:rsidP="00483E06">
      <w:pPr>
        <w:jc w:val="both"/>
        <w:rPr>
          <w:rFonts w:ascii="Calibri" w:hAnsi="Calibri"/>
          <w:b/>
          <w:sz w:val="28"/>
          <w:lang w:val="es-PA"/>
        </w:rPr>
      </w:pPr>
      <w:r w:rsidRPr="003529FC">
        <w:rPr>
          <w:rFonts w:ascii="Calibri" w:hAnsi="Calibri"/>
          <w:b/>
          <w:sz w:val="28"/>
          <w:lang w:val="es-PA"/>
        </w:rPr>
        <w:t xml:space="preserve">11.1   Distribución de los artículos no alimentarios </w:t>
      </w:r>
    </w:p>
    <w:p w:rsidR="004012F3" w:rsidRPr="003529FC" w:rsidRDefault="004012F3" w:rsidP="00483E06">
      <w:pPr>
        <w:jc w:val="both"/>
        <w:rPr>
          <w:rFonts w:ascii="Calibri" w:hAnsi="Calibri"/>
          <w:lang w:val="es-PA"/>
        </w:rPr>
      </w:pPr>
    </w:p>
    <w:p w:rsidR="004012F3" w:rsidRPr="003529FC" w:rsidRDefault="004012F3" w:rsidP="00483E06">
      <w:pPr>
        <w:jc w:val="both"/>
        <w:rPr>
          <w:rFonts w:ascii="Calibri" w:hAnsi="Calibri"/>
          <w:b/>
          <w:lang w:val="es-PA"/>
        </w:rPr>
      </w:pPr>
      <w:r w:rsidRPr="003529FC">
        <w:rPr>
          <w:rFonts w:ascii="Calibri" w:hAnsi="Calibri"/>
          <w:b/>
          <w:lang w:val="es-PA"/>
        </w:rPr>
        <w:t xml:space="preserve">Selección de artículos no alimentarios </w:t>
      </w:r>
    </w:p>
    <w:p w:rsidR="004012F3" w:rsidRPr="003529FC" w:rsidRDefault="004012F3" w:rsidP="00483E06">
      <w:pPr>
        <w:jc w:val="both"/>
        <w:rPr>
          <w:rFonts w:ascii="Calibri" w:hAnsi="Calibri"/>
          <w:lang w:val="es-PA"/>
        </w:rPr>
      </w:pPr>
      <w:r>
        <w:rPr>
          <w:rFonts w:ascii="Calibri" w:hAnsi="Calibri"/>
          <w:lang w:val="es-PA"/>
        </w:rPr>
        <w:t>P</w:t>
      </w:r>
      <w:r w:rsidRPr="003529FC">
        <w:rPr>
          <w:rFonts w:ascii="Calibri" w:hAnsi="Calibri"/>
          <w:lang w:val="es-PA"/>
        </w:rPr>
        <w:t>or lo general</w:t>
      </w:r>
      <w:r>
        <w:rPr>
          <w:rFonts w:ascii="Calibri" w:hAnsi="Calibri"/>
          <w:lang w:val="es-PA"/>
        </w:rPr>
        <w:t>,</w:t>
      </w:r>
      <w:r w:rsidRPr="003529FC">
        <w:rPr>
          <w:rFonts w:ascii="Calibri" w:hAnsi="Calibri"/>
          <w:lang w:val="es-PA"/>
        </w:rPr>
        <w:t xml:space="preserve"> </w:t>
      </w:r>
      <w:r>
        <w:rPr>
          <w:rFonts w:ascii="Calibri" w:hAnsi="Calibri"/>
          <w:lang w:val="es-PA"/>
        </w:rPr>
        <w:t>el</w:t>
      </w:r>
      <w:r w:rsidRPr="003529FC">
        <w:rPr>
          <w:rFonts w:ascii="Calibri" w:hAnsi="Calibri"/>
          <w:lang w:val="es-PA"/>
        </w:rPr>
        <w:t xml:space="preserve"> Administrador y el Coordinador de Centro</w:t>
      </w:r>
      <w:r>
        <w:rPr>
          <w:rFonts w:ascii="Calibri" w:hAnsi="Calibri"/>
          <w:lang w:val="es-PA"/>
        </w:rPr>
        <w:t>s Colectivos</w:t>
      </w:r>
      <w:r w:rsidRPr="003529FC">
        <w:rPr>
          <w:rFonts w:ascii="Calibri" w:hAnsi="Calibri"/>
          <w:lang w:val="es-PA"/>
        </w:rPr>
        <w:t xml:space="preserve"> asumen</w:t>
      </w:r>
      <w:r w:rsidRPr="00D0209F">
        <w:rPr>
          <w:rFonts w:ascii="Calibri" w:hAnsi="Calibri"/>
          <w:lang w:val="es-PA"/>
        </w:rPr>
        <w:t xml:space="preserve"> </w:t>
      </w:r>
      <w:r w:rsidRPr="003529FC">
        <w:rPr>
          <w:rFonts w:ascii="Calibri" w:hAnsi="Calibri"/>
          <w:lang w:val="es-PA"/>
        </w:rPr>
        <w:t xml:space="preserve">el liderazgo, junto con el Grupo Sectorial </w:t>
      </w:r>
      <w:r>
        <w:rPr>
          <w:rFonts w:ascii="Calibri" w:hAnsi="Calibri"/>
          <w:lang w:val="es-PA"/>
        </w:rPr>
        <w:t>de</w:t>
      </w:r>
      <w:r w:rsidRPr="003529FC">
        <w:rPr>
          <w:rFonts w:ascii="Calibri" w:hAnsi="Calibri"/>
          <w:lang w:val="es-PA"/>
        </w:rPr>
        <w:t xml:space="preserve"> Alojamiento, y preparan una lista de art</w:t>
      </w:r>
      <w:r>
        <w:rPr>
          <w:rFonts w:ascii="Calibri" w:hAnsi="Calibri"/>
          <w:lang w:val="es-PA"/>
        </w:rPr>
        <w:t xml:space="preserve">ículos no alimentarios recomendados para que sean entregados a los residentes de los Centros Colectivos. La selección de tales artículos debe hacerse después de haber consultado a los distintos grupos dentro del Centro, incluyendo  hombres y mujeres, niños y niñas, </w:t>
      </w:r>
      <w:proofErr w:type="gramStart"/>
      <w:r>
        <w:rPr>
          <w:rFonts w:ascii="Calibri" w:hAnsi="Calibri"/>
          <w:lang w:val="es-PA"/>
        </w:rPr>
        <w:t>personas</w:t>
      </w:r>
      <w:proofErr w:type="gramEnd"/>
      <w:r>
        <w:rPr>
          <w:rFonts w:ascii="Calibri" w:hAnsi="Calibri"/>
          <w:lang w:val="es-PA"/>
        </w:rPr>
        <w:t xml:space="preserve"> con discapacidad y personas mayores. De esta forma, se tomarán en consideración las necesidades específicas de cada grupo, respetando a la vez el contexto y la cultura de los residentes.</w:t>
      </w:r>
    </w:p>
    <w:p w:rsidR="004012F3" w:rsidRPr="003529FC" w:rsidRDefault="004012F3" w:rsidP="00483E06">
      <w:pPr>
        <w:jc w:val="both"/>
        <w:rPr>
          <w:rFonts w:ascii="Calibri" w:hAnsi="Calibri"/>
          <w:lang w:val="es-PA"/>
        </w:rPr>
      </w:pPr>
    </w:p>
    <w:tbl>
      <w:tblPr>
        <w:tblW w:w="89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64"/>
      </w:tblGrid>
      <w:tr w:rsidR="004012F3" w:rsidTr="00483E06">
        <w:trPr>
          <w:trHeight w:val="969"/>
        </w:trPr>
        <w:tc>
          <w:tcPr>
            <w:tcW w:w="8964" w:type="dxa"/>
            <w:shd w:val="clear" w:color="auto" w:fill="B8CCE4"/>
          </w:tcPr>
          <w:p w:rsidR="004012F3" w:rsidRPr="00483E06" w:rsidRDefault="004012F3" w:rsidP="00483E06">
            <w:pPr>
              <w:ind w:left="96"/>
              <w:jc w:val="both"/>
              <w:rPr>
                <w:rFonts w:ascii="Calibri" w:hAnsi="Calibri"/>
                <w:b/>
                <w:lang w:val="es-PA"/>
              </w:rPr>
            </w:pPr>
            <w:r w:rsidRPr="00483E06">
              <w:rPr>
                <w:rFonts w:ascii="Calibri" w:hAnsi="Calibri"/>
                <w:b/>
                <w:i/>
                <w:lang w:val="es-PA"/>
              </w:rPr>
              <w:t>Recomendaciones</w:t>
            </w:r>
          </w:p>
          <w:p w:rsidR="004012F3" w:rsidRDefault="004012F3" w:rsidP="00D0209F">
            <w:pPr>
              <w:ind w:left="96"/>
              <w:jc w:val="both"/>
              <w:rPr>
                <w:rFonts w:ascii="Calibri" w:hAnsi="Calibri"/>
                <w:b/>
                <w:lang w:val="es-PA"/>
              </w:rPr>
            </w:pPr>
            <w:r w:rsidRPr="00483E06">
              <w:rPr>
                <w:rFonts w:ascii="Calibri" w:hAnsi="Calibri"/>
                <w:lang w:val="es-PA"/>
              </w:rPr>
              <w:t xml:space="preserve">Las distribuciones de artículos no alimentarios en Centros </w:t>
            </w:r>
            <w:r>
              <w:rPr>
                <w:rFonts w:ascii="Calibri" w:hAnsi="Calibri"/>
                <w:lang w:val="es-PA"/>
              </w:rPr>
              <w:t xml:space="preserve">Colectivos </w:t>
            </w:r>
            <w:r w:rsidRPr="00483E06">
              <w:rPr>
                <w:rFonts w:ascii="Calibri" w:hAnsi="Calibri"/>
                <w:lang w:val="es-PA"/>
              </w:rPr>
              <w:t>a largo plazo podr</w:t>
            </w:r>
            <w:r>
              <w:rPr>
                <w:rFonts w:ascii="Calibri" w:hAnsi="Calibri"/>
                <w:lang w:val="es-PA"/>
              </w:rPr>
              <w:t>ían incluir muebles.</w:t>
            </w:r>
          </w:p>
        </w:tc>
      </w:tr>
    </w:tbl>
    <w:p w:rsidR="004012F3" w:rsidRPr="00483E06" w:rsidRDefault="004012F3" w:rsidP="00483E06">
      <w:pPr>
        <w:jc w:val="both"/>
        <w:rPr>
          <w:rFonts w:ascii="Calibri" w:hAnsi="Calibri"/>
          <w:lang w:val="es-PA"/>
        </w:rPr>
      </w:pPr>
    </w:p>
    <w:p w:rsidR="004012F3" w:rsidRPr="00483E06" w:rsidRDefault="004012F3" w:rsidP="00483E06">
      <w:pPr>
        <w:jc w:val="both"/>
        <w:rPr>
          <w:rFonts w:ascii="Calibri" w:hAnsi="Calibri"/>
          <w:b/>
          <w:lang w:val="es-PA"/>
        </w:rPr>
      </w:pPr>
      <w:r w:rsidRPr="00483E06">
        <w:rPr>
          <w:rFonts w:ascii="Calibri" w:hAnsi="Calibri"/>
          <w:b/>
          <w:lang w:val="es-PA"/>
        </w:rPr>
        <w:t>Desarroll</w:t>
      </w:r>
      <w:r>
        <w:rPr>
          <w:rFonts w:ascii="Calibri" w:hAnsi="Calibri"/>
          <w:b/>
          <w:lang w:val="es-PA"/>
        </w:rPr>
        <w:t>ando</w:t>
      </w:r>
      <w:r w:rsidRPr="00483E06">
        <w:rPr>
          <w:rFonts w:ascii="Calibri" w:hAnsi="Calibri"/>
          <w:b/>
          <w:lang w:val="es-PA"/>
        </w:rPr>
        <w:t xml:space="preserve"> paquetes de artículos no alimentarios </w:t>
      </w:r>
    </w:p>
    <w:p w:rsidR="004012F3" w:rsidRDefault="004012F3" w:rsidP="00483E06">
      <w:pPr>
        <w:jc w:val="both"/>
        <w:rPr>
          <w:rFonts w:ascii="Calibri" w:hAnsi="Calibri"/>
          <w:lang w:val="es-PA"/>
        </w:rPr>
      </w:pPr>
      <w:r>
        <w:rPr>
          <w:rFonts w:ascii="Calibri" w:hAnsi="Calibri"/>
          <w:lang w:val="es-PA"/>
        </w:rPr>
        <w:t>Al desarrollar un paquete de artículos no alimentarios se deben tomar algunas consideraciones especiales, tales como situaciones de  desplazamiento prolongado, ubicación, distribución de alimentos y retorno. Todas ellas tienen un efecto sobre la clase de artículos no alimentarios que se requerirán.</w:t>
      </w:r>
    </w:p>
    <w:p w:rsidR="004012F3" w:rsidRPr="00C03AA3" w:rsidRDefault="004012F3" w:rsidP="00483E06">
      <w:pPr>
        <w:jc w:val="both"/>
        <w:rPr>
          <w:rFonts w:ascii="Calibri" w:hAnsi="Calibri"/>
          <w:b/>
          <w:lang w:val="es-PA"/>
        </w:rPr>
      </w:pPr>
    </w:p>
    <w:p w:rsidR="004012F3" w:rsidRDefault="004012F3" w:rsidP="00483E06">
      <w:pPr>
        <w:jc w:val="both"/>
        <w:rPr>
          <w:rFonts w:ascii="Calibri" w:hAnsi="Calibri"/>
          <w:b/>
          <w:lang w:val="es-PA"/>
        </w:rPr>
      </w:pPr>
    </w:p>
    <w:p w:rsidR="004012F3" w:rsidRPr="00C03AA3" w:rsidRDefault="004012F3" w:rsidP="00483E06">
      <w:pPr>
        <w:jc w:val="both"/>
        <w:rPr>
          <w:rFonts w:ascii="Calibri" w:hAnsi="Calibri"/>
          <w:b/>
          <w:lang w:val="es-PA"/>
        </w:rPr>
      </w:pPr>
      <w:r w:rsidRPr="00C03AA3">
        <w:rPr>
          <w:rFonts w:ascii="Calibri" w:hAnsi="Calibri"/>
          <w:b/>
          <w:lang w:val="es-PA"/>
        </w:rPr>
        <w:t>Consideraciones respect</w:t>
      </w:r>
      <w:r>
        <w:rPr>
          <w:rFonts w:ascii="Calibri" w:hAnsi="Calibri"/>
          <w:b/>
          <w:lang w:val="es-PA"/>
        </w:rPr>
        <w:t>o</w:t>
      </w:r>
      <w:r w:rsidRPr="00C03AA3">
        <w:rPr>
          <w:rFonts w:ascii="Calibri" w:hAnsi="Calibri"/>
          <w:b/>
          <w:lang w:val="es-PA"/>
        </w:rPr>
        <w:t xml:space="preserve"> a los paquetes de artículos no alimentarios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9"/>
        <w:gridCol w:w="5751"/>
      </w:tblGrid>
      <w:tr w:rsidR="004012F3" w:rsidTr="00133E02">
        <w:tc>
          <w:tcPr>
            <w:tcW w:w="3119" w:type="dxa"/>
          </w:tcPr>
          <w:p w:rsidR="004012F3" w:rsidRPr="00133E02" w:rsidRDefault="004012F3" w:rsidP="00133E02">
            <w:pPr>
              <w:jc w:val="both"/>
              <w:rPr>
                <w:rFonts w:ascii="Calibri" w:hAnsi="Calibri"/>
                <w:b/>
                <w:i/>
                <w:lang w:val="en-US"/>
              </w:rPr>
            </w:pPr>
            <w:proofErr w:type="spellStart"/>
            <w:r w:rsidRPr="00133E02">
              <w:rPr>
                <w:rFonts w:ascii="Calibri" w:hAnsi="Calibri"/>
                <w:b/>
                <w:i/>
                <w:sz w:val="22"/>
                <w:szCs w:val="22"/>
                <w:lang w:val="en-US"/>
              </w:rPr>
              <w:t>Situación</w:t>
            </w:r>
            <w:proofErr w:type="spellEnd"/>
          </w:p>
        </w:tc>
        <w:tc>
          <w:tcPr>
            <w:tcW w:w="5751" w:type="dxa"/>
          </w:tcPr>
          <w:p w:rsidR="004012F3" w:rsidRPr="00133E02" w:rsidRDefault="004012F3" w:rsidP="00133E02">
            <w:pPr>
              <w:jc w:val="both"/>
              <w:rPr>
                <w:rFonts w:ascii="Calibri" w:hAnsi="Calibri"/>
                <w:b/>
                <w:i/>
                <w:lang w:val="en-US"/>
              </w:rPr>
            </w:pPr>
            <w:proofErr w:type="spellStart"/>
            <w:r w:rsidRPr="00133E02">
              <w:rPr>
                <w:rFonts w:ascii="Calibri" w:hAnsi="Calibri"/>
                <w:b/>
                <w:i/>
                <w:sz w:val="22"/>
                <w:szCs w:val="22"/>
                <w:lang w:val="en-US"/>
              </w:rPr>
              <w:t>Consideración</w:t>
            </w:r>
            <w:proofErr w:type="spellEnd"/>
          </w:p>
          <w:p w:rsidR="004012F3" w:rsidRPr="00133E02" w:rsidRDefault="004012F3" w:rsidP="00133E02">
            <w:pPr>
              <w:jc w:val="both"/>
              <w:rPr>
                <w:rFonts w:ascii="Calibri" w:hAnsi="Calibri"/>
                <w:lang w:val="en-US"/>
              </w:rPr>
            </w:pPr>
          </w:p>
        </w:tc>
      </w:tr>
      <w:tr w:rsidR="004012F3" w:rsidTr="00133E02">
        <w:tc>
          <w:tcPr>
            <w:tcW w:w="3119" w:type="dxa"/>
          </w:tcPr>
          <w:p w:rsidR="004012F3" w:rsidRPr="00133E02" w:rsidRDefault="004012F3" w:rsidP="00133E02">
            <w:pPr>
              <w:jc w:val="both"/>
              <w:rPr>
                <w:rFonts w:ascii="Calibri" w:hAnsi="Calibri"/>
                <w:b/>
                <w:lang w:val="en-US"/>
              </w:rPr>
            </w:pPr>
            <w:proofErr w:type="spellStart"/>
            <w:r w:rsidRPr="00133E02">
              <w:rPr>
                <w:rFonts w:ascii="Calibri" w:hAnsi="Calibri"/>
                <w:b/>
                <w:sz w:val="22"/>
                <w:szCs w:val="22"/>
                <w:lang w:val="en-US"/>
              </w:rPr>
              <w:t>Desplazamiento</w:t>
            </w:r>
            <w:proofErr w:type="spellEnd"/>
            <w:r w:rsidRPr="00133E02">
              <w:rPr>
                <w:rFonts w:ascii="Calibri" w:hAnsi="Calibri"/>
                <w:b/>
                <w:sz w:val="22"/>
                <w:szCs w:val="22"/>
                <w:lang w:val="en-US"/>
              </w:rPr>
              <w:t xml:space="preserve"> </w:t>
            </w:r>
            <w:proofErr w:type="spellStart"/>
            <w:r w:rsidRPr="00133E02">
              <w:rPr>
                <w:rFonts w:ascii="Calibri" w:hAnsi="Calibri"/>
                <w:b/>
                <w:sz w:val="22"/>
                <w:szCs w:val="22"/>
                <w:lang w:val="en-US"/>
              </w:rPr>
              <w:t>prolongado</w:t>
            </w:r>
            <w:proofErr w:type="spellEnd"/>
          </w:p>
        </w:tc>
        <w:tc>
          <w:tcPr>
            <w:tcW w:w="5751" w:type="dxa"/>
          </w:tcPr>
          <w:p w:rsidR="004012F3" w:rsidRPr="00133E02" w:rsidRDefault="004012F3" w:rsidP="00133E02">
            <w:pPr>
              <w:jc w:val="both"/>
              <w:rPr>
                <w:rFonts w:ascii="Calibri" w:hAnsi="Calibri"/>
                <w:lang w:val="es-PA"/>
              </w:rPr>
            </w:pPr>
            <w:r w:rsidRPr="00133E02">
              <w:rPr>
                <w:rFonts w:ascii="Calibri" w:hAnsi="Calibri"/>
                <w:sz w:val="22"/>
                <w:szCs w:val="22"/>
                <w:lang w:val="es-PA"/>
              </w:rPr>
              <w:t xml:space="preserve">En los desplazamientos a largo plazo la situación cambia, y </w:t>
            </w:r>
            <w:r w:rsidRPr="00133E02">
              <w:rPr>
                <w:rFonts w:ascii="Calibri" w:hAnsi="Calibri"/>
                <w:sz w:val="22"/>
                <w:szCs w:val="22"/>
                <w:lang w:val="es-PA"/>
              </w:rPr>
              <w:lastRenderedPageBreak/>
              <w:t xml:space="preserve">surgen condiciones de vida </w:t>
            </w:r>
            <w:proofErr w:type="spellStart"/>
            <w:r w:rsidRPr="00133E02">
              <w:rPr>
                <w:rFonts w:ascii="Calibri" w:hAnsi="Calibri"/>
                <w:sz w:val="22"/>
                <w:szCs w:val="22"/>
                <w:lang w:val="es-PA"/>
              </w:rPr>
              <w:t>semi</w:t>
            </w:r>
            <w:proofErr w:type="spellEnd"/>
            <w:r w:rsidRPr="00133E02">
              <w:rPr>
                <w:rFonts w:ascii="Calibri" w:hAnsi="Calibri"/>
                <w:sz w:val="22"/>
                <w:szCs w:val="22"/>
                <w:lang w:val="es-PA"/>
              </w:rPr>
              <w:t xml:space="preserve">-permanentes. Por lo tanto, es necesario distribuir camas, sillas, mesas, armarios, etc., pero sólo una vez. </w:t>
            </w:r>
          </w:p>
          <w:p w:rsidR="004012F3" w:rsidRPr="00133E02" w:rsidRDefault="004012F3" w:rsidP="00133E02">
            <w:pPr>
              <w:jc w:val="both"/>
              <w:rPr>
                <w:rFonts w:ascii="Calibri" w:hAnsi="Calibri"/>
              </w:rPr>
            </w:pPr>
          </w:p>
        </w:tc>
      </w:tr>
      <w:tr w:rsidR="004012F3" w:rsidTr="00133E02">
        <w:tc>
          <w:tcPr>
            <w:tcW w:w="3119" w:type="dxa"/>
          </w:tcPr>
          <w:p w:rsidR="004012F3" w:rsidRPr="00133E02" w:rsidRDefault="004012F3" w:rsidP="00133E02">
            <w:pPr>
              <w:jc w:val="both"/>
              <w:rPr>
                <w:rFonts w:ascii="Calibri" w:hAnsi="Calibri"/>
                <w:b/>
                <w:lang w:val="en-US"/>
              </w:rPr>
            </w:pPr>
            <w:proofErr w:type="spellStart"/>
            <w:r w:rsidRPr="00133E02">
              <w:rPr>
                <w:rFonts w:ascii="Calibri" w:hAnsi="Calibri"/>
                <w:b/>
                <w:sz w:val="22"/>
                <w:szCs w:val="22"/>
                <w:lang w:val="en-US"/>
              </w:rPr>
              <w:lastRenderedPageBreak/>
              <w:t>Estación</w:t>
            </w:r>
            <w:proofErr w:type="spellEnd"/>
          </w:p>
        </w:tc>
        <w:tc>
          <w:tcPr>
            <w:tcW w:w="5751" w:type="dxa"/>
          </w:tcPr>
          <w:p w:rsidR="004012F3" w:rsidRPr="00133E02" w:rsidRDefault="004012F3" w:rsidP="00133E02">
            <w:pPr>
              <w:jc w:val="both"/>
              <w:rPr>
                <w:rFonts w:ascii="Calibri" w:hAnsi="Calibri"/>
              </w:rPr>
            </w:pPr>
            <w:r w:rsidRPr="00133E02">
              <w:rPr>
                <w:rFonts w:ascii="Calibri" w:hAnsi="Calibri"/>
                <w:sz w:val="22"/>
                <w:szCs w:val="22"/>
              </w:rPr>
              <w:t xml:space="preserve">En invierno puede ser necesario distribuir frazadas adicionales. </w:t>
            </w:r>
          </w:p>
          <w:p w:rsidR="004012F3" w:rsidRPr="00133E02" w:rsidRDefault="004012F3" w:rsidP="00133E02">
            <w:pPr>
              <w:jc w:val="both"/>
              <w:rPr>
                <w:rFonts w:ascii="Calibri" w:hAnsi="Calibri"/>
              </w:rPr>
            </w:pPr>
          </w:p>
        </w:tc>
      </w:tr>
      <w:tr w:rsidR="004012F3" w:rsidTr="00133E02">
        <w:tc>
          <w:tcPr>
            <w:tcW w:w="3119" w:type="dxa"/>
          </w:tcPr>
          <w:p w:rsidR="004012F3" w:rsidRPr="00133E02" w:rsidRDefault="004012F3" w:rsidP="00133E02">
            <w:pPr>
              <w:jc w:val="both"/>
              <w:rPr>
                <w:rFonts w:ascii="Calibri" w:hAnsi="Calibri"/>
                <w:b/>
                <w:lang w:val="en-US"/>
              </w:rPr>
            </w:pPr>
            <w:proofErr w:type="spellStart"/>
            <w:r w:rsidRPr="00133E02">
              <w:rPr>
                <w:rFonts w:ascii="Calibri" w:hAnsi="Calibri"/>
                <w:b/>
                <w:sz w:val="22"/>
                <w:szCs w:val="22"/>
                <w:lang w:val="en-US"/>
              </w:rPr>
              <w:t>Distribución</w:t>
            </w:r>
            <w:proofErr w:type="spellEnd"/>
            <w:r w:rsidRPr="00133E02">
              <w:rPr>
                <w:rFonts w:ascii="Calibri" w:hAnsi="Calibri"/>
                <w:b/>
                <w:sz w:val="22"/>
                <w:szCs w:val="22"/>
                <w:lang w:val="en-US"/>
              </w:rPr>
              <w:t xml:space="preserve"> de </w:t>
            </w:r>
            <w:proofErr w:type="spellStart"/>
            <w:r w:rsidRPr="00133E02">
              <w:rPr>
                <w:rFonts w:ascii="Calibri" w:hAnsi="Calibri"/>
                <w:b/>
                <w:sz w:val="22"/>
                <w:szCs w:val="22"/>
                <w:lang w:val="en-US"/>
              </w:rPr>
              <w:t>alimentos</w:t>
            </w:r>
            <w:proofErr w:type="spellEnd"/>
          </w:p>
        </w:tc>
        <w:tc>
          <w:tcPr>
            <w:tcW w:w="5751" w:type="dxa"/>
          </w:tcPr>
          <w:p w:rsidR="004012F3" w:rsidRPr="00133E02" w:rsidRDefault="004012F3" w:rsidP="00133E02">
            <w:pPr>
              <w:jc w:val="both"/>
              <w:rPr>
                <w:rFonts w:ascii="Calibri" w:hAnsi="Calibri"/>
                <w:lang w:val="es-PA"/>
              </w:rPr>
            </w:pPr>
            <w:r w:rsidRPr="00133E02">
              <w:rPr>
                <w:rFonts w:ascii="Calibri" w:hAnsi="Calibri"/>
                <w:sz w:val="22"/>
                <w:szCs w:val="22"/>
              </w:rPr>
              <w:t xml:space="preserve">Se debe considerar el tipo de alimento que se distribuye, cuando se preparen los paquetes de artículos no alimentarios </w:t>
            </w:r>
            <w:r w:rsidRPr="00133E02">
              <w:rPr>
                <w:rFonts w:ascii="Calibri" w:hAnsi="Calibri"/>
                <w:sz w:val="22"/>
                <w:szCs w:val="22"/>
                <w:lang w:val="es-PA"/>
              </w:rPr>
              <w:t xml:space="preserve">Por ejemplo, si se distribuye harina para hacer pan, se deben tener hornos a disposición.  Los alimentos listos para consumir no requieren de tal equipo. </w:t>
            </w:r>
          </w:p>
          <w:p w:rsidR="004012F3" w:rsidRPr="00133E02" w:rsidRDefault="004012F3" w:rsidP="00133E02">
            <w:pPr>
              <w:jc w:val="both"/>
              <w:rPr>
                <w:rFonts w:ascii="Calibri" w:hAnsi="Calibri"/>
              </w:rPr>
            </w:pPr>
          </w:p>
        </w:tc>
      </w:tr>
      <w:tr w:rsidR="004012F3" w:rsidTr="00133E02">
        <w:tc>
          <w:tcPr>
            <w:tcW w:w="3119" w:type="dxa"/>
          </w:tcPr>
          <w:p w:rsidR="004012F3" w:rsidRPr="00133E02" w:rsidRDefault="004012F3" w:rsidP="00133E02">
            <w:pPr>
              <w:jc w:val="both"/>
              <w:rPr>
                <w:rFonts w:ascii="Calibri" w:hAnsi="Calibri"/>
                <w:b/>
                <w:lang w:val="en-US"/>
              </w:rPr>
            </w:pPr>
            <w:proofErr w:type="spellStart"/>
            <w:r w:rsidRPr="00133E02">
              <w:rPr>
                <w:rFonts w:ascii="Calibri" w:hAnsi="Calibri"/>
                <w:b/>
                <w:sz w:val="22"/>
                <w:szCs w:val="22"/>
                <w:lang w:val="en-US"/>
              </w:rPr>
              <w:t>Ubicación</w:t>
            </w:r>
            <w:proofErr w:type="spellEnd"/>
          </w:p>
        </w:tc>
        <w:tc>
          <w:tcPr>
            <w:tcW w:w="5751" w:type="dxa"/>
          </w:tcPr>
          <w:p w:rsidR="004012F3" w:rsidRPr="00133E02" w:rsidRDefault="004012F3" w:rsidP="00133E02">
            <w:pPr>
              <w:jc w:val="both"/>
              <w:rPr>
                <w:rFonts w:ascii="Calibri" w:hAnsi="Calibri"/>
              </w:rPr>
            </w:pPr>
            <w:r w:rsidRPr="00133E02">
              <w:rPr>
                <w:rFonts w:ascii="Calibri" w:hAnsi="Calibri"/>
                <w:sz w:val="22"/>
                <w:szCs w:val="22"/>
                <w:lang w:val="es-PA"/>
              </w:rPr>
              <w:t xml:space="preserve">Los entornos rurales y urbanos pueden requerir artículos no alimentarios específicos. La distribución de éstos también puede hacerse de manera distinta, por ejemplo se pueden entregar vales para que las personas retiren su paquete en grandes almacenes. </w:t>
            </w:r>
          </w:p>
          <w:p w:rsidR="004012F3" w:rsidRPr="00133E02" w:rsidRDefault="004012F3" w:rsidP="00133E02">
            <w:pPr>
              <w:jc w:val="both"/>
              <w:rPr>
                <w:rFonts w:ascii="Calibri" w:hAnsi="Calibri"/>
              </w:rPr>
            </w:pPr>
          </w:p>
        </w:tc>
      </w:tr>
      <w:tr w:rsidR="004012F3" w:rsidRPr="00846152" w:rsidTr="00133E02">
        <w:tc>
          <w:tcPr>
            <w:tcW w:w="3119" w:type="dxa"/>
          </w:tcPr>
          <w:p w:rsidR="004012F3" w:rsidRPr="00133E02" w:rsidRDefault="004012F3" w:rsidP="00133E02">
            <w:pPr>
              <w:jc w:val="both"/>
              <w:rPr>
                <w:rFonts w:ascii="Calibri" w:hAnsi="Calibri"/>
                <w:b/>
                <w:lang w:val="en-US"/>
              </w:rPr>
            </w:pPr>
            <w:proofErr w:type="spellStart"/>
            <w:r w:rsidRPr="00133E02">
              <w:rPr>
                <w:rFonts w:ascii="Calibri" w:hAnsi="Calibri"/>
                <w:b/>
                <w:sz w:val="22"/>
                <w:szCs w:val="22"/>
                <w:lang w:val="en-US"/>
              </w:rPr>
              <w:t>Retorno</w:t>
            </w:r>
            <w:proofErr w:type="spellEnd"/>
            <w:r w:rsidRPr="00133E02">
              <w:rPr>
                <w:rFonts w:ascii="Calibri" w:hAnsi="Calibri"/>
                <w:b/>
                <w:sz w:val="22"/>
                <w:szCs w:val="22"/>
                <w:lang w:val="en-US"/>
              </w:rPr>
              <w:t xml:space="preserve"> </w:t>
            </w:r>
          </w:p>
        </w:tc>
        <w:tc>
          <w:tcPr>
            <w:tcW w:w="5751" w:type="dxa"/>
          </w:tcPr>
          <w:p w:rsidR="004012F3" w:rsidRPr="00133E02" w:rsidRDefault="004012F3" w:rsidP="00133E02">
            <w:pPr>
              <w:jc w:val="both"/>
              <w:rPr>
                <w:rFonts w:ascii="Calibri" w:hAnsi="Calibri"/>
                <w:lang w:val="es-PA"/>
              </w:rPr>
            </w:pPr>
            <w:r w:rsidRPr="00133E02">
              <w:rPr>
                <w:rFonts w:ascii="Calibri" w:hAnsi="Calibri"/>
                <w:sz w:val="22"/>
                <w:szCs w:val="22"/>
                <w:lang w:val="es-PA"/>
              </w:rPr>
              <w:t xml:space="preserve">A medida que las personas comienzan a regresar a sus hogares, se debe tener en cuenta dónde se asentarán y de qué manera se distribuirán y almacenarán los artículos requeridos. </w:t>
            </w:r>
          </w:p>
          <w:p w:rsidR="004012F3" w:rsidRPr="00133E02" w:rsidRDefault="004012F3" w:rsidP="00133E02">
            <w:pPr>
              <w:jc w:val="both"/>
              <w:rPr>
                <w:rFonts w:ascii="Calibri" w:hAnsi="Calibri"/>
                <w:lang w:val="es-PA"/>
              </w:rPr>
            </w:pPr>
          </w:p>
        </w:tc>
      </w:tr>
    </w:tbl>
    <w:p w:rsidR="004012F3" w:rsidRPr="00846152" w:rsidRDefault="004012F3" w:rsidP="00483E06">
      <w:pPr>
        <w:jc w:val="both"/>
        <w:rPr>
          <w:rFonts w:ascii="Calibri" w:hAnsi="Calibri"/>
          <w:lang w:val="es-PA"/>
        </w:rPr>
      </w:pPr>
    </w:p>
    <w:p w:rsidR="004012F3" w:rsidRPr="00846152" w:rsidRDefault="004012F3" w:rsidP="00483E06">
      <w:pPr>
        <w:jc w:val="both"/>
        <w:rPr>
          <w:rFonts w:ascii="Calibri" w:hAnsi="Calibri"/>
          <w:b/>
          <w:lang w:val="es-PA"/>
        </w:rPr>
      </w:pPr>
    </w:p>
    <w:p w:rsidR="004012F3" w:rsidRPr="00846152" w:rsidRDefault="004012F3" w:rsidP="00483E06">
      <w:pPr>
        <w:jc w:val="both"/>
        <w:rPr>
          <w:rFonts w:ascii="Calibri" w:hAnsi="Calibri"/>
          <w:b/>
          <w:lang w:val="es-PA"/>
        </w:rPr>
      </w:pPr>
      <w:r>
        <w:rPr>
          <w:rFonts w:ascii="Calibri" w:hAnsi="Calibri"/>
          <w:b/>
          <w:lang w:val="es-PA"/>
        </w:rPr>
        <w:t>Normas mínimas</w:t>
      </w:r>
      <w:r w:rsidRPr="00846152">
        <w:rPr>
          <w:rFonts w:ascii="Calibri" w:hAnsi="Calibri"/>
          <w:b/>
          <w:lang w:val="es-PA"/>
        </w:rPr>
        <w:t xml:space="preserve"> </w:t>
      </w:r>
      <w:r>
        <w:rPr>
          <w:rFonts w:ascii="Calibri" w:hAnsi="Calibri"/>
          <w:b/>
          <w:lang w:val="es-PA"/>
        </w:rPr>
        <w:t>para los</w:t>
      </w:r>
      <w:r w:rsidRPr="00846152">
        <w:rPr>
          <w:rFonts w:ascii="Calibri" w:hAnsi="Calibri"/>
          <w:b/>
          <w:lang w:val="es-PA"/>
        </w:rPr>
        <w:t xml:space="preserve"> artículos no alimentarios </w:t>
      </w:r>
    </w:p>
    <w:p w:rsidR="004012F3" w:rsidRDefault="004012F3" w:rsidP="00483E06">
      <w:pPr>
        <w:jc w:val="both"/>
        <w:rPr>
          <w:rFonts w:ascii="Calibri" w:hAnsi="Calibri"/>
          <w:lang w:val="es-PA"/>
        </w:rPr>
      </w:pPr>
      <w:r>
        <w:rPr>
          <w:rFonts w:ascii="Calibri" w:hAnsi="Calibri"/>
          <w:lang w:val="es-PA"/>
        </w:rPr>
        <w:t>Es importante asegurar que los implementadores respeten las normas mínimas acordadas para los artículos no alimentarios. La estandarización de los kits y su calidad aseguran el mismo nivel de respuesta para todas las personas desplazadas. Esto ayudará a evitar situaciones de desigualdad entre los campamentos y los centros, así como factores de atracción y de presión que pudieran llevar a un desplazamiento secundario.</w:t>
      </w:r>
    </w:p>
    <w:p w:rsidR="004012F3" w:rsidRPr="00846152" w:rsidRDefault="004012F3" w:rsidP="00483E06">
      <w:pPr>
        <w:jc w:val="both"/>
        <w:rPr>
          <w:rFonts w:ascii="Calibri" w:hAnsi="Calibri"/>
          <w:lang w:val="es-PA"/>
        </w:rPr>
      </w:pPr>
    </w:p>
    <w:p w:rsidR="004012F3" w:rsidRPr="00A51607" w:rsidRDefault="004012F3" w:rsidP="00483E06">
      <w:pPr>
        <w:jc w:val="both"/>
        <w:rPr>
          <w:rFonts w:ascii="Calibri" w:hAnsi="Calibri"/>
          <w:b/>
          <w:lang w:val="es-PA"/>
        </w:rPr>
      </w:pPr>
      <w:r w:rsidRPr="00A51607">
        <w:rPr>
          <w:rFonts w:ascii="Calibri" w:hAnsi="Calibri"/>
          <w:b/>
          <w:lang w:val="es-PA"/>
        </w:rPr>
        <w:t xml:space="preserve">Seguimiento de las distribuciones de artículos no alimentarios </w:t>
      </w:r>
    </w:p>
    <w:p w:rsidR="004012F3" w:rsidRPr="00A51607" w:rsidRDefault="004012F3" w:rsidP="00483E06">
      <w:pPr>
        <w:jc w:val="both"/>
        <w:rPr>
          <w:rFonts w:ascii="Calibri" w:hAnsi="Calibri"/>
          <w:lang w:val="es-PA"/>
        </w:rPr>
      </w:pPr>
      <w:r w:rsidRPr="00A51607">
        <w:rPr>
          <w:rFonts w:ascii="Calibri" w:hAnsi="Calibri"/>
          <w:lang w:val="es-PA"/>
        </w:rPr>
        <w:t xml:space="preserve">Por último, es importante </w:t>
      </w:r>
      <w:r>
        <w:rPr>
          <w:rFonts w:ascii="Calibri" w:hAnsi="Calibri"/>
          <w:lang w:val="es-PA"/>
        </w:rPr>
        <w:t>tener</w:t>
      </w:r>
      <w:r w:rsidRPr="00A51607">
        <w:rPr>
          <w:rFonts w:ascii="Calibri" w:hAnsi="Calibri"/>
          <w:lang w:val="es-PA"/>
        </w:rPr>
        <w:t xml:space="preserve"> un sistema de seguimiento para la distribuci</w:t>
      </w:r>
      <w:r>
        <w:rPr>
          <w:rFonts w:ascii="Calibri" w:hAnsi="Calibri"/>
          <w:lang w:val="es-PA"/>
        </w:rPr>
        <w:t>ón de artículos no alimentarios dónde el clima social interno es tenso y se caracteriza por peleas o quejas, ya que el personal que lleva a cabo las distribuciones podría estar en peligro de acusaciones de favorecer a un grupo de residentes por encima de otro.</w:t>
      </w:r>
    </w:p>
    <w:p w:rsidR="004012F3" w:rsidRPr="00A51607" w:rsidRDefault="004012F3" w:rsidP="00483E06">
      <w:pPr>
        <w:jc w:val="both"/>
        <w:rPr>
          <w:rFonts w:ascii="Calibri" w:hAnsi="Calibri"/>
          <w:lang w:val="es-PA"/>
        </w:rPr>
      </w:pPr>
    </w:p>
    <w:p w:rsidR="004012F3" w:rsidRPr="0088563B" w:rsidRDefault="004012F3" w:rsidP="00483E06">
      <w:pPr>
        <w:jc w:val="both"/>
        <w:rPr>
          <w:rFonts w:ascii="Calibri" w:hAnsi="Calibri"/>
        </w:rPr>
      </w:pPr>
    </w:p>
    <w:p w:rsidR="004012F3" w:rsidRPr="00A51607" w:rsidRDefault="004012F3" w:rsidP="00483E06">
      <w:pPr>
        <w:jc w:val="both"/>
        <w:rPr>
          <w:rFonts w:ascii="Calibri" w:hAnsi="Calibri"/>
          <w:b/>
          <w:sz w:val="28"/>
          <w:lang w:val="es-PA"/>
        </w:rPr>
      </w:pPr>
      <w:r w:rsidRPr="00A51607">
        <w:rPr>
          <w:rFonts w:ascii="Calibri" w:hAnsi="Calibri"/>
          <w:b/>
          <w:sz w:val="28"/>
          <w:lang w:val="es-PA"/>
        </w:rPr>
        <w:t xml:space="preserve">11.2 Transición hacia </w:t>
      </w:r>
      <w:r>
        <w:rPr>
          <w:rFonts w:ascii="Calibri" w:hAnsi="Calibri"/>
          <w:b/>
          <w:sz w:val="28"/>
          <w:lang w:val="es-PA"/>
        </w:rPr>
        <w:t>sistemas</w:t>
      </w:r>
      <w:r w:rsidRPr="00A51607">
        <w:rPr>
          <w:rFonts w:ascii="Calibri" w:hAnsi="Calibri"/>
          <w:b/>
          <w:sz w:val="28"/>
          <w:lang w:val="es-PA"/>
        </w:rPr>
        <w:t xml:space="preserve"> de bienestar</w:t>
      </w:r>
    </w:p>
    <w:p w:rsidR="004012F3" w:rsidRPr="00A51607" w:rsidRDefault="004012F3" w:rsidP="00483E06">
      <w:pPr>
        <w:jc w:val="both"/>
        <w:rPr>
          <w:rFonts w:ascii="Calibri" w:hAnsi="Calibri"/>
          <w:lang w:val="es-PA"/>
        </w:rPr>
      </w:pPr>
    </w:p>
    <w:p w:rsidR="004012F3" w:rsidRPr="00A51607" w:rsidRDefault="004012F3" w:rsidP="00483E06">
      <w:pPr>
        <w:jc w:val="both"/>
        <w:rPr>
          <w:rFonts w:ascii="Calibri" w:hAnsi="Calibri"/>
          <w:sz w:val="22"/>
          <w:lang w:val="es-PA"/>
        </w:rPr>
      </w:pPr>
      <w:r w:rsidRPr="00A51607">
        <w:rPr>
          <w:rFonts w:ascii="Calibri" w:hAnsi="Calibri"/>
          <w:b/>
          <w:lang w:val="es-PA"/>
        </w:rPr>
        <w:t xml:space="preserve">Transición hacia </w:t>
      </w:r>
      <w:r>
        <w:rPr>
          <w:rFonts w:ascii="Calibri" w:hAnsi="Calibri"/>
          <w:b/>
          <w:lang w:val="es-PA"/>
        </w:rPr>
        <w:t>sistemas</w:t>
      </w:r>
      <w:r w:rsidRPr="00A51607">
        <w:rPr>
          <w:rFonts w:ascii="Calibri" w:hAnsi="Calibri"/>
          <w:b/>
          <w:lang w:val="es-PA"/>
        </w:rPr>
        <w:t xml:space="preserve"> de bienestar</w:t>
      </w:r>
    </w:p>
    <w:p w:rsidR="004012F3" w:rsidRPr="00A51607" w:rsidRDefault="004012F3" w:rsidP="00483E06">
      <w:pPr>
        <w:jc w:val="both"/>
        <w:rPr>
          <w:rFonts w:ascii="Calibri" w:hAnsi="Calibri"/>
          <w:lang w:val="es-PA"/>
        </w:rPr>
      </w:pPr>
      <w:r w:rsidRPr="00A51607">
        <w:rPr>
          <w:rFonts w:ascii="Calibri" w:hAnsi="Calibri"/>
          <w:lang w:val="es-PA"/>
        </w:rPr>
        <w:t>En situaciones de desplazamiento a largo plazo, muchos pa</w:t>
      </w:r>
      <w:r>
        <w:rPr>
          <w:rFonts w:ascii="Calibri" w:hAnsi="Calibri"/>
          <w:lang w:val="es-PA"/>
        </w:rPr>
        <w:t xml:space="preserve">íses que tienen Centros Colectivos, con el tiempo, dejan de proveer directamente alimentos o artículos no </w:t>
      </w:r>
      <w:r>
        <w:rPr>
          <w:rFonts w:ascii="Calibri" w:hAnsi="Calibri"/>
          <w:lang w:val="es-PA"/>
        </w:rPr>
        <w:lastRenderedPageBreak/>
        <w:t xml:space="preserve">alimentarios. En su lugar, se esfuerzan para incluir a todos los residentes de los Centros en los sistemas de bienestar del Estado. Si éstos no existen, se debe animar a las agencias a que desarrollen programas más completos de asistencia que aborden las necesidades de bienestar a más largo plazo. El Gestor de Centros debe poner mucha atención a cualquier vacío potencial en la asistencia, y puede que deba formar a los residentes del Centro Colectivo sobre los requisitos de solicitud preliminares, tales como los procedimientos de registro o aplicación. </w:t>
      </w:r>
    </w:p>
    <w:p w:rsidR="004012F3" w:rsidRPr="00A51607" w:rsidRDefault="004012F3" w:rsidP="00483E06">
      <w:pPr>
        <w:jc w:val="both"/>
        <w:rPr>
          <w:rFonts w:ascii="Calibri" w:hAnsi="Calibri"/>
          <w:lang w:val="es-PA"/>
        </w:rPr>
      </w:pPr>
    </w:p>
    <w:p w:rsidR="004012F3" w:rsidRPr="0088563B" w:rsidRDefault="004012F3" w:rsidP="00483E06">
      <w:pPr>
        <w:jc w:val="both"/>
        <w:rPr>
          <w:rFonts w:ascii="Calibri" w:hAnsi="Calibri"/>
          <w:b/>
        </w:rPr>
      </w:pPr>
    </w:p>
    <w:p w:rsidR="004012F3" w:rsidRPr="003575AA" w:rsidRDefault="004012F3" w:rsidP="00483E06">
      <w:pPr>
        <w:jc w:val="both"/>
        <w:rPr>
          <w:rFonts w:ascii="Calibri" w:hAnsi="Calibri"/>
          <w:b/>
          <w:lang w:val="es-PA"/>
        </w:rPr>
      </w:pPr>
      <w:r w:rsidRPr="003575AA">
        <w:rPr>
          <w:rFonts w:ascii="Calibri" w:hAnsi="Calibri"/>
          <w:b/>
          <w:lang w:val="es-PA"/>
        </w:rPr>
        <w:t>Lecturas adicionales</w:t>
      </w:r>
    </w:p>
    <w:p w:rsidR="004012F3" w:rsidRPr="003575AA" w:rsidRDefault="004012F3" w:rsidP="00483E06">
      <w:pPr>
        <w:jc w:val="both"/>
        <w:rPr>
          <w:rFonts w:ascii="Calibri" w:hAnsi="Calibri"/>
          <w:lang w:val="es-PA"/>
        </w:rPr>
      </w:pPr>
    </w:p>
    <w:p w:rsidR="004012F3" w:rsidRDefault="004012F3" w:rsidP="00483E06">
      <w:pPr>
        <w:jc w:val="both"/>
        <w:rPr>
          <w:rFonts w:ascii="Calibri" w:hAnsi="Calibri"/>
          <w:lang w:val="es-PA"/>
        </w:rPr>
      </w:pPr>
      <w:r w:rsidRPr="00E95523">
        <w:rPr>
          <w:rFonts w:ascii="Calibri" w:hAnsi="Calibri"/>
          <w:lang w:val="es-PA"/>
        </w:rPr>
        <w:t>IASC, 2004 (Está siendo revisada). Esfera. Carta Humanitaria y Normas Mínimas de</w:t>
      </w:r>
      <w:r>
        <w:rPr>
          <w:rFonts w:ascii="Calibri" w:hAnsi="Calibri"/>
          <w:lang w:val="es-PA"/>
        </w:rPr>
        <w:t xml:space="preserve"> Respuesta en Casos de Desastre; Capítulo 4: Normas mínimas en materia de refugios y emplazamientos y artículos no alimentarios.</w:t>
      </w:r>
    </w:p>
    <w:p w:rsidR="004012F3" w:rsidRPr="003575AA" w:rsidRDefault="004012F3" w:rsidP="00483E06">
      <w:pPr>
        <w:jc w:val="both"/>
        <w:rPr>
          <w:rFonts w:ascii="Calibri" w:hAnsi="Calibri"/>
          <w:lang w:val="es-PA"/>
        </w:rPr>
      </w:pPr>
    </w:p>
    <w:p w:rsidR="004012F3" w:rsidRPr="00957F7C" w:rsidRDefault="004012F3" w:rsidP="003575AA">
      <w:pPr>
        <w:jc w:val="both"/>
        <w:rPr>
          <w:rFonts w:ascii="Calibri" w:hAnsi="Calibri"/>
          <w:lang w:val="en-GB"/>
        </w:rPr>
      </w:pPr>
      <w:proofErr w:type="gramStart"/>
      <w:r w:rsidRPr="00957F7C">
        <w:rPr>
          <w:rFonts w:ascii="Calibri" w:hAnsi="Calibri"/>
          <w:lang w:val="en-GB"/>
        </w:rPr>
        <w:t>IASC Emergency Shelter Cluster, 2009.</w:t>
      </w:r>
      <w:proofErr w:type="gramEnd"/>
      <w:r w:rsidRPr="00957F7C">
        <w:rPr>
          <w:rFonts w:ascii="Calibri" w:hAnsi="Calibri"/>
          <w:lang w:val="en-GB"/>
        </w:rPr>
        <w:t xml:space="preserve"> Selecting NFI’s for Shelters.</w:t>
      </w:r>
      <w:r w:rsidRPr="00957F7C" w:rsidDel="00891AD3">
        <w:rPr>
          <w:rFonts w:ascii="Calibri" w:hAnsi="Calibri"/>
          <w:lang w:val="en-GB"/>
        </w:rPr>
        <w:t xml:space="preserve"> </w:t>
      </w:r>
    </w:p>
    <w:p w:rsidR="004012F3" w:rsidRPr="00957F7C" w:rsidRDefault="004012F3" w:rsidP="00483E06">
      <w:pPr>
        <w:jc w:val="both"/>
        <w:rPr>
          <w:rFonts w:ascii="Calibri" w:hAnsi="Calibri"/>
          <w:lang w:val="en-GB"/>
        </w:rPr>
      </w:pPr>
    </w:p>
    <w:p w:rsidR="004012F3" w:rsidRPr="003575AA" w:rsidRDefault="004012F3" w:rsidP="00483E06">
      <w:pPr>
        <w:jc w:val="both"/>
        <w:rPr>
          <w:rFonts w:ascii="Calibri" w:hAnsi="Calibri"/>
          <w:lang w:val="es-PA"/>
        </w:rPr>
      </w:pPr>
      <w:r w:rsidRPr="003575AA">
        <w:rPr>
          <w:rFonts w:ascii="Calibri" w:hAnsi="Calibri"/>
          <w:lang w:val="es-PA"/>
        </w:rPr>
        <w:t xml:space="preserve">Disponible en: </w:t>
      </w:r>
      <w:hyperlink r:id="rId5" w:history="1">
        <w:r w:rsidRPr="00EE685A">
          <w:rPr>
            <w:rStyle w:val="Hipervnculo"/>
            <w:rFonts w:ascii="Calibri" w:hAnsi="Calibri"/>
            <w:lang w:val="es-PA"/>
          </w:rPr>
          <w:t>http://www.sheltercentre.org/library/Selecting+</w:t>
        </w:r>
        <w:r w:rsidRPr="003575AA">
          <w:rPr>
            <w:rStyle w:val="Hipervnculo"/>
            <w:rFonts w:ascii="Calibri" w:hAnsi="Calibri"/>
            <w:lang w:val="es-PA"/>
          </w:rPr>
          <w:t>NFIs+Shelter</w:t>
        </w:r>
      </w:hyperlink>
    </w:p>
    <w:p w:rsidR="004012F3" w:rsidRPr="003575AA" w:rsidRDefault="004012F3" w:rsidP="00483E06">
      <w:pPr>
        <w:jc w:val="both"/>
        <w:rPr>
          <w:rFonts w:ascii="Calibri" w:hAnsi="Calibri"/>
          <w:lang w:val="es-PA"/>
        </w:rPr>
      </w:pPr>
    </w:p>
    <w:p w:rsidR="004012F3" w:rsidRPr="003575AA" w:rsidRDefault="004012F3" w:rsidP="00483E06">
      <w:pPr>
        <w:jc w:val="both"/>
        <w:rPr>
          <w:rFonts w:ascii="Calibri" w:hAnsi="Calibri"/>
          <w:lang w:val="es-PA"/>
        </w:rPr>
      </w:pPr>
    </w:p>
    <w:p w:rsidR="004012F3" w:rsidRPr="003575AA" w:rsidRDefault="004012F3" w:rsidP="00483E06">
      <w:pPr>
        <w:jc w:val="both"/>
        <w:rPr>
          <w:rFonts w:ascii="Calibri" w:hAnsi="Calibri"/>
          <w:lang w:val="es-PA"/>
        </w:rPr>
      </w:pPr>
    </w:p>
    <w:p w:rsidR="004012F3" w:rsidRPr="00F16A7E" w:rsidRDefault="004012F3" w:rsidP="00483E06">
      <w:pPr>
        <w:jc w:val="both"/>
        <w:rPr>
          <w:rFonts w:ascii="Calibri" w:hAnsi="Calibri"/>
        </w:rPr>
      </w:pPr>
    </w:p>
    <w:sectPr w:rsidR="004012F3" w:rsidRPr="00F16A7E" w:rsidSect="00C441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7D34"/>
    <w:multiLevelType w:val="hybridMultilevel"/>
    <w:tmpl w:val="15B2C31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9F0F86"/>
    <w:rsid w:val="000D03FE"/>
    <w:rsid w:val="00133E02"/>
    <w:rsid w:val="00155F4D"/>
    <w:rsid w:val="001D4AE6"/>
    <w:rsid w:val="00252ECF"/>
    <w:rsid w:val="003529FC"/>
    <w:rsid w:val="003575AA"/>
    <w:rsid w:val="004012F3"/>
    <w:rsid w:val="00483E06"/>
    <w:rsid w:val="006F2470"/>
    <w:rsid w:val="007470BA"/>
    <w:rsid w:val="007659F0"/>
    <w:rsid w:val="007770B0"/>
    <w:rsid w:val="00846152"/>
    <w:rsid w:val="00865234"/>
    <w:rsid w:val="0088563B"/>
    <w:rsid w:val="008903C7"/>
    <w:rsid w:val="00891AD3"/>
    <w:rsid w:val="00945FE7"/>
    <w:rsid w:val="00957F7C"/>
    <w:rsid w:val="00996FCB"/>
    <w:rsid w:val="009F0F86"/>
    <w:rsid w:val="00A51607"/>
    <w:rsid w:val="00AB5FF8"/>
    <w:rsid w:val="00AF3065"/>
    <w:rsid w:val="00C03AA3"/>
    <w:rsid w:val="00C4413F"/>
    <w:rsid w:val="00C71011"/>
    <w:rsid w:val="00C71D9C"/>
    <w:rsid w:val="00D0209F"/>
    <w:rsid w:val="00E2654B"/>
    <w:rsid w:val="00E507ED"/>
    <w:rsid w:val="00E558CA"/>
    <w:rsid w:val="00E95523"/>
    <w:rsid w:val="00EB1445"/>
    <w:rsid w:val="00EE685A"/>
    <w:rsid w:val="00F16A7E"/>
    <w:rsid w:val="00FB6BBD"/>
    <w:rsid w:val="00FD420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F86"/>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F16A7E"/>
    <w:pPr>
      <w:ind w:left="720"/>
      <w:contextualSpacing/>
    </w:pPr>
  </w:style>
  <w:style w:type="table" w:styleId="Sombreadoclaro-nfasis5">
    <w:name w:val="Light Shading Accent 5"/>
    <w:basedOn w:val="Tablanormal"/>
    <w:uiPriority w:val="99"/>
    <w:rsid w:val="003529FC"/>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Tablaconcuadrcula">
    <w:name w:val="Table Grid"/>
    <w:basedOn w:val="Tablanormal"/>
    <w:uiPriority w:val="99"/>
    <w:rsid w:val="00C03A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3575AA"/>
    <w:rPr>
      <w:rFonts w:cs="Times New Roman"/>
      <w:color w:val="0000FF"/>
      <w:u w:val="single"/>
    </w:rPr>
  </w:style>
  <w:style w:type="paragraph" w:styleId="Textodeglobo">
    <w:name w:val="Balloon Text"/>
    <w:basedOn w:val="Normal"/>
    <w:link w:val="TextodegloboCar"/>
    <w:uiPriority w:val="99"/>
    <w:semiHidden/>
    <w:rsid w:val="00D0209F"/>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D0209F"/>
    <w:rPr>
      <w:rFonts w:ascii="Tahoma" w:hAnsi="Tahoma" w:cs="Tahoma"/>
      <w:sz w:val="16"/>
      <w:szCs w:val="16"/>
      <w:lang w:val="es-ES" w:eastAsia="es-ES"/>
    </w:rPr>
  </w:style>
  <w:style w:type="character" w:styleId="Refdecomentario">
    <w:name w:val="annotation reference"/>
    <w:basedOn w:val="Fuentedeprrafopredeter"/>
    <w:uiPriority w:val="99"/>
    <w:semiHidden/>
    <w:rsid w:val="00AB5FF8"/>
    <w:rPr>
      <w:rFonts w:cs="Times New Roman"/>
      <w:sz w:val="16"/>
      <w:szCs w:val="16"/>
    </w:rPr>
  </w:style>
  <w:style w:type="paragraph" w:styleId="Textocomentario">
    <w:name w:val="annotation text"/>
    <w:basedOn w:val="Normal"/>
    <w:link w:val="TextocomentarioCar"/>
    <w:uiPriority w:val="99"/>
    <w:semiHidden/>
    <w:rsid w:val="00AB5FF8"/>
    <w:rPr>
      <w:sz w:val="20"/>
      <w:szCs w:val="20"/>
    </w:rPr>
  </w:style>
  <w:style w:type="character" w:customStyle="1" w:styleId="TextocomentarioCar">
    <w:name w:val="Texto comentario Car"/>
    <w:basedOn w:val="Fuentedeprrafopredeter"/>
    <w:link w:val="Textocomentario"/>
    <w:uiPriority w:val="99"/>
    <w:semiHidden/>
    <w:locked/>
    <w:rsid w:val="00AB5FF8"/>
    <w:rPr>
      <w:rFonts w:ascii="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AB5FF8"/>
    <w:rPr>
      <w:b/>
      <w:bCs/>
    </w:rPr>
  </w:style>
  <w:style w:type="character" w:customStyle="1" w:styleId="AsuntodelcomentarioCar">
    <w:name w:val="Asunto del comentario Car"/>
    <w:basedOn w:val="TextocomentarioCar"/>
    <w:link w:val="Asuntodelcomentario"/>
    <w:uiPriority w:val="99"/>
    <w:semiHidden/>
    <w:locked/>
    <w:rsid w:val="00AB5FF8"/>
    <w:rPr>
      <w:b/>
      <w:bCs/>
    </w:rPr>
  </w:style>
  <w:style w:type="character" w:styleId="Hipervnculovisitado">
    <w:name w:val="FollowedHyperlink"/>
    <w:basedOn w:val="Fuentedeprrafopredeter"/>
    <w:uiPriority w:val="99"/>
    <w:semiHidden/>
    <w:rsid w:val="00891AD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heltercentre.org/library/Selecting+NFIs+Shelt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814</Words>
  <Characters>4478</Characters>
  <Application>Microsoft Office Word</Application>
  <DocSecurity>0</DocSecurity>
  <Lines>37</Lines>
  <Paragraphs>10</Paragraphs>
  <ScaleCrop>false</ScaleCrop>
  <Company/>
  <LinksUpToDate>false</LinksUpToDate>
  <CharactersWithSpaces>5282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2011-06-25T20:24:00Z</dcterms:created>
  <dcterms:modified xsi:type="dcterms:W3CDTF">2011-06-25T20:24:00Z</dcterms:modified>
</cp:coreProperties>
</file>