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017" w:rsidRPr="00FE4DBE" w:rsidRDefault="00AC5017" w:rsidP="00D578C3">
      <w:pPr>
        <w:rPr>
          <w:rFonts w:ascii="Calibri" w:hAnsi="Calibri"/>
          <w:b/>
          <w:sz w:val="28"/>
          <w:lang w:val="es-CR"/>
        </w:rPr>
      </w:pPr>
      <w:r w:rsidRPr="00FE4DBE">
        <w:rPr>
          <w:rFonts w:ascii="Calibri" w:hAnsi="Calibri"/>
          <w:b/>
          <w:sz w:val="28"/>
          <w:lang w:val="es-CR"/>
        </w:rPr>
        <w:t xml:space="preserve">13. AGUA, SANEAMIENTO E HIGIENE (WASH) </w:t>
      </w:r>
    </w:p>
    <w:p w:rsidR="00AC5017" w:rsidRPr="00B049BB" w:rsidRDefault="00AC5017" w:rsidP="00D578C3">
      <w:pPr>
        <w:rPr>
          <w:rFonts w:ascii="Calibri" w:hAnsi="Calibri"/>
          <w:lang w:val="es-CR"/>
        </w:rPr>
      </w:pPr>
    </w:p>
    <w:tbl>
      <w:tblPr>
        <w:tblW w:w="0" w:type="auto"/>
        <w:tblBorders>
          <w:top w:val="single" w:sz="8" w:space="0" w:color="4BACC6"/>
          <w:bottom w:val="single" w:sz="8" w:space="0" w:color="4BACC6"/>
        </w:tblBorders>
        <w:tblLook w:val="0000"/>
      </w:tblPr>
      <w:tblGrid>
        <w:gridCol w:w="8880"/>
      </w:tblGrid>
      <w:tr w:rsidR="00AC5017" w:rsidTr="00F00BEC">
        <w:trPr>
          <w:trHeight w:val="3741"/>
        </w:trPr>
        <w:tc>
          <w:tcPr>
            <w:tcW w:w="8880" w:type="dxa"/>
            <w:tcBorders>
              <w:top w:val="single" w:sz="8" w:space="0" w:color="4BACC6"/>
              <w:left w:val="nil"/>
              <w:bottom w:val="single" w:sz="8" w:space="0" w:color="4BACC6"/>
              <w:right w:val="nil"/>
            </w:tcBorders>
            <w:shd w:val="clear" w:color="auto" w:fill="D2EAF1"/>
          </w:tcPr>
          <w:p w:rsidR="00AC5017" w:rsidRPr="00F00BEC" w:rsidRDefault="00AC5017" w:rsidP="00F00BEC">
            <w:pPr>
              <w:ind w:left="36"/>
              <w:rPr>
                <w:rFonts w:ascii="Calibri" w:hAnsi="Calibri"/>
                <w:b/>
                <w:color w:val="31849B"/>
                <w:lang w:val="es-CR"/>
              </w:rPr>
            </w:pPr>
            <w:r w:rsidRPr="00F00BEC">
              <w:rPr>
                <w:rFonts w:ascii="Calibri" w:hAnsi="Calibri"/>
                <w:b/>
                <w:color w:val="31849B"/>
                <w:szCs w:val="22"/>
                <w:lang w:val="es-CR"/>
              </w:rPr>
              <w:t>Mensajes clave</w:t>
            </w:r>
          </w:p>
          <w:p w:rsidR="00AC5017" w:rsidRPr="00F00BEC" w:rsidRDefault="00AC5017" w:rsidP="00F00BEC">
            <w:pPr>
              <w:ind w:left="36"/>
              <w:rPr>
                <w:rFonts w:ascii="Calibri" w:hAnsi="Calibri"/>
                <w:color w:val="31849B"/>
                <w:lang w:val="es-CR"/>
              </w:rPr>
            </w:pPr>
          </w:p>
          <w:p w:rsidR="00AC5017" w:rsidRPr="00F00BEC" w:rsidRDefault="00AC5017" w:rsidP="00F00BEC">
            <w:pPr>
              <w:pStyle w:val="Prrafodelista"/>
              <w:numPr>
                <w:ilvl w:val="0"/>
                <w:numId w:val="1"/>
              </w:numPr>
              <w:ind w:left="756"/>
              <w:rPr>
                <w:rFonts w:ascii="Calibri" w:hAnsi="Calibri"/>
                <w:color w:val="31849B"/>
                <w:lang w:val="es-CR"/>
              </w:rPr>
            </w:pPr>
            <w:r w:rsidRPr="00F00BEC">
              <w:rPr>
                <w:rFonts w:ascii="Calibri" w:hAnsi="Calibri"/>
                <w:color w:val="31849B"/>
                <w:sz w:val="22"/>
                <w:szCs w:val="22"/>
                <w:lang w:val="es-CR"/>
              </w:rPr>
              <w:t xml:space="preserve">Por lo general, las instalaciones e infraestructura de agua, saneamiento e higiene en los Centros Colectivos son extremadamente inadecuadas. Las soluciones suelen ser complejas y caras, pero necesarias. </w:t>
            </w:r>
          </w:p>
          <w:p w:rsidR="00AC5017" w:rsidRPr="00F00BEC" w:rsidRDefault="00AC5017" w:rsidP="00F00BEC">
            <w:pPr>
              <w:ind w:left="36"/>
              <w:rPr>
                <w:rFonts w:ascii="Calibri" w:hAnsi="Calibri"/>
                <w:color w:val="31849B"/>
                <w:lang w:val="es-CR"/>
              </w:rPr>
            </w:pPr>
          </w:p>
          <w:p w:rsidR="00AC5017" w:rsidRPr="00F00BEC" w:rsidRDefault="00AC5017" w:rsidP="00F00BEC">
            <w:pPr>
              <w:pStyle w:val="Prrafodelista"/>
              <w:numPr>
                <w:ilvl w:val="0"/>
                <w:numId w:val="1"/>
              </w:numPr>
              <w:ind w:left="756"/>
              <w:rPr>
                <w:rFonts w:ascii="Calibri" w:hAnsi="Calibri"/>
                <w:color w:val="31849B"/>
                <w:lang w:val="es-CR"/>
              </w:rPr>
            </w:pPr>
            <w:r w:rsidRPr="00F00BEC">
              <w:rPr>
                <w:rFonts w:ascii="Calibri" w:hAnsi="Calibri"/>
                <w:color w:val="31849B"/>
                <w:sz w:val="22"/>
                <w:szCs w:val="22"/>
                <w:lang w:val="es-CR"/>
              </w:rPr>
              <w:t>Se deben considerar  los estándares tanto para la cantidad y calidad de las instalaciones de agua, saneamiento e higiene, como para las tradiciones culturales y planes de mantenimiento.</w:t>
            </w:r>
          </w:p>
          <w:p w:rsidR="00AC5017" w:rsidRPr="00F00BEC" w:rsidRDefault="00AC5017" w:rsidP="00F00BEC">
            <w:pPr>
              <w:ind w:left="36"/>
              <w:rPr>
                <w:rFonts w:ascii="Calibri" w:hAnsi="Calibri"/>
                <w:color w:val="31849B"/>
                <w:lang w:val="es-CR"/>
              </w:rPr>
            </w:pPr>
          </w:p>
          <w:p w:rsidR="00AC5017" w:rsidRPr="00F00BEC" w:rsidRDefault="00AC5017" w:rsidP="00F00BEC">
            <w:pPr>
              <w:pStyle w:val="Prrafodelista"/>
              <w:numPr>
                <w:ilvl w:val="0"/>
                <w:numId w:val="1"/>
              </w:numPr>
              <w:ind w:left="756"/>
              <w:rPr>
                <w:rFonts w:ascii="Calibri" w:hAnsi="Calibri"/>
                <w:color w:val="31849B"/>
                <w:lang w:val="es-CR"/>
              </w:rPr>
            </w:pPr>
            <w:r w:rsidRPr="00F00BEC">
              <w:rPr>
                <w:rFonts w:ascii="Calibri" w:hAnsi="Calibri"/>
                <w:color w:val="31849B"/>
                <w:sz w:val="22"/>
                <w:szCs w:val="22"/>
                <w:lang w:val="es-CR"/>
              </w:rPr>
              <w:t xml:space="preserve">La participación de representantes de los diferentes grupos de usuarios es crucial para asegurar un acceso seguro, adecuado y apropiado al agua, saneamiento e higiene. </w:t>
            </w:r>
          </w:p>
          <w:p w:rsidR="00AC5017" w:rsidRPr="00F00BEC" w:rsidRDefault="00AC5017" w:rsidP="00F00BEC">
            <w:pPr>
              <w:ind w:left="36"/>
              <w:rPr>
                <w:rFonts w:ascii="Calibri" w:hAnsi="Calibri"/>
                <w:b/>
                <w:color w:val="31849B"/>
                <w:lang w:val="es-CR"/>
              </w:rPr>
            </w:pPr>
          </w:p>
        </w:tc>
      </w:tr>
    </w:tbl>
    <w:p w:rsidR="00AC5017" w:rsidRPr="00D578C3" w:rsidRDefault="00AC5017" w:rsidP="00C8322C">
      <w:pPr>
        <w:jc w:val="both"/>
        <w:rPr>
          <w:rFonts w:ascii="Calibri" w:hAnsi="Calibri"/>
          <w:lang w:val="es-CR"/>
        </w:rPr>
      </w:pPr>
    </w:p>
    <w:p w:rsidR="00AC5017" w:rsidRPr="00903EFF" w:rsidRDefault="00AC5017" w:rsidP="00903EFF">
      <w:pPr>
        <w:tabs>
          <w:tab w:val="left" w:pos="2565"/>
        </w:tabs>
        <w:jc w:val="both"/>
        <w:rPr>
          <w:rFonts w:ascii="Calibri" w:hAnsi="Calibri"/>
          <w:b/>
          <w:lang w:val="es-CR"/>
        </w:rPr>
      </w:pPr>
      <w:r w:rsidRPr="00903EFF">
        <w:rPr>
          <w:rFonts w:ascii="Calibri" w:hAnsi="Calibri"/>
          <w:b/>
          <w:lang w:val="es-CR"/>
        </w:rPr>
        <w:t xml:space="preserve">Suministro de agua </w:t>
      </w:r>
      <w:r>
        <w:rPr>
          <w:rFonts w:ascii="Calibri" w:hAnsi="Calibri"/>
          <w:b/>
          <w:lang w:val="es-CR"/>
        </w:rPr>
        <w:tab/>
      </w:r>
    </w:p>
    <w:p w:rsidR="00AC5017" w:rsidRPr="00C8322C" w:rsidRDefault="00AC5017" w:rsidP="00C8322C">
      <w:pPr>
        <w:jc w:val="both"/>
        <w:rPr>
          <w:rFonts w:ascii="Calibri" w:hAnsi="Calibri"/>
          <w:lang w:val="es-CR"/>
        </w:rPr>
      </w:pPr>
      <w:r>
        <w:rPr>
          <w:rFonts w:ascii="Calibri" w:hAnsi="Calibri"/>
          <w:lang w:val="es-CR"/>
        </w:rPr>
        <w:t>Existen g</w:t>
      </w:r>
      <w:r w:rsidRPr="00C8322C">
        <w:rPr>
          <w:rFonts w:ascii="Calibri" w:hAnsi="Calibri"/>
          <w:lang w:val="es-CR"/>
        </w:rPr>
        <w:t xml:space="preserve">randes </w:t>
      </w:r>
      <w:r>
        <w:rPr>
          <w:rFonts w:ascii="Calibri" w:hAnsi="Calibri"/>
          <w:lang w:val="es-CR"/>
        </w:rPr>
        <w:t xml:space="preserve">diferencias </w:t>
      </w:r>
      <w:r w:rsidRPr="00C8322C">
        <w:rPr>
          <w:rFonts w:ascii="Calibri" w:hAnsi="Calibri"/>
          <w:lang w:val="es-CR"/>
        </w:rPr>
        <w:t xml:space="preserve">en cuanto a las condiciones de agua, saneamiento e higiene dentro y alrededor de los Centros Colectivos. En </w:t>
      </w:r>
      <w:r>
        <w:rPr>
          <w:rFonts w:ascii="Calibri" w:hAnsi="Calibri"/>
          <w:lang w:val="es-CR"/>
        </w:rPr>
        <w:t xml:space="preserve">las </w:t>
      </w:r>
      <w:r w:rsidRPr="00C8322C">
        <w:rPr>
          <w:rFonts w:ascii="Calibri" w:hAnsi="Calibri"/>
          <w:lang w:val="es-CR"/>
        </w:rPr>
        <w:t xml:space="preserve">áreas urbanas, el suministro de agua para un Centro Colectivo puede provenir de </w:t>
      </w:r>
      <w:r>
        <w:rPr>
          <w:rFonts w:ascii="Calibri" w:hAnsi="Calibri"/>
          <w:lang w:val="es-CR"/>
        </w:rPr>
        <w:t xml:space="preserve">una fuente pública. </w:t>
      </w:r>
      <w:r w:rsidRPr="00C8322C">
        <w:rPr>
          <w:rFonts w:ascii="Calibri" w:hAnsi="Calibri"/>
          <w:lang w:val="es-CR"/>
        </w:rPr>
        <w:t>Si el Centro ya está conectado</w:t>
      </w:r>
      <w:r>
        <w:rPr>
          <w:rFonts w:ascii="Calibri" w:hAnsi="Calibri"/>
          <w:lang w:val="es-CR"/>
        </w:rPr>
        <w:t xml:space="preserve"> a esta fuente</w:t>
      </w:r>
      <w:r w:rsidRPr="00C8322C">
        <w:rPr>
          <w:rFonts w:ascii="Calibri" w:hAnsi="Calibri"/>
          <w:lang w:val="es-CR"/>
        </w:rPr>
        <w:t xml:space="preserve">, pero aún carece de agua corriente debido, por ejemplo, a que las conexiones están </w:t>
      </w:r>
      <w:r>
        <w:rPr>
          <w:rFonts w:ascii="Calibri" w:hAnsi="Calibri"/>
          <w:lang w:val="es-CR"/>
        </w:rPr>
        <w:t>dañadas</w:t>
      </w:r>
      <w:r w:rsidRPr="00C8322C">
        <w:rPr>
          <w:rFonts w:ascii="Calibri" w:hAnsi="Calibri"/>
          <w:lang w:val="es-CR"/>
        </w:rPr>
        <w:t xml:space="preserve">, entonces se pueden reparar las </w:t>
      </w:r>
      <w:r>
        <w:rPr>
          <w:rFonts w:ascii="Calibri" w:hAnsi="Calibri"/>
          <w:lang w:val="es-CR"/>
        </w:rPr>
        <w:t>mismas</w:t>
      </w:r>
      <w:r w:rsidRPr="00C8322C">
        <w:rPr>
          <w:rFonts w:ascii="Calibri" w:hAnsi="Calibri"/>
          <w:lang w:val="es-CR"/>
        </w:rPr>
        <w:t xml:space="preserve">. Si la falta de agua se debe a problemas con el suministro </w:t>
      </w:r>
      <w:r>
        <w:rPr>
          <w:rFonts w:ascii="Calibri" w:hAnsi="Calibri"/>
          <w:lang w:val="es-CR"/>
        </w:rPr>
        <w:t>en</w:t>
      </w:r>
      <w:r w:rsidRPr="00C8322C">
        <w:rPr>
          <w:rFonts w:ascii="Calibri" w:hAnsi="Calibri"/>
          <w:lang w:val="es-CR"/>
        </w:rPr>
        <w:t xml:space="preserve"> la ciudad, se deben encontrar soluciones. En la medida de lo posible, </w:t>
      </w:r>
      <w:r>
        <w:rPr>
          <w:rFonts w:ascii="Calibri" w:hAnsi="Calibri"/>
          <w:lang w:val="es-CR"/>
        </w:rPr>
        <w:t xml:space="preserve">éstas pasan por </w:t>
      </w:r>
      <w:r w:rsidRPr="00C8322C">
        <w:rPr>
          <w:rFonts w:ascii="Calibri" w:hAnsi="Calibri"/>
          <w:lang w:val="es-CR"/>
        </w:rPr>
        <w:t xml:space="preserve">apoyar a las autoridades de agua de la ciudad </w:t>
      </w:r>
      <w:r>
        <w:rPr>
          <w:rFonts w:ascii="Calibri" w:hAnsi="Calibri"/>
          <w:lang w:val="es-CR"/>
        </w:rPr>
        <w:t xml:space="preserve">a solucionar </w:t>
      </w:r>
      <w:r w:rsidRPr="00C8322C">
        <w:rPr>
          <w:rFonts w:ascii="Calibri" w:hAnsi="Calibri"/>
          <w:lang w:val="es-CR"/>
        </w:rPr>
        <w:t xml:space="preserve">los problemas </w:t>
      </w:r>
      <w:r>
        <w:rPr>
          <w:rFonts w:ascii="Calibri" w:hAnsi="Calibri"/>
          <w:lang w:val="es-CR"/>
        </w:rPr>
        <w:t>existentes</w:t>
      </w:r>
      <w:r w:rsidRPr="00C8322C">
        <w:rPr>
          <w:rFonts w:ascii="Calibri" w:hAnsi="Calibri"/>
          <w:lang w:val="es-CR"/>
        </w:rPr>
        <w:t xml:space="preserve"> (esto ayudará a minimizar el malestar que se </w:t>
      </w:r>
      <w:r>
        <w:rPr>
          <w:rFonts w:ascii="Calibri" w:hAnsi="Calibri"/>
          <w:lang w:val="es-CR"/>
        </w:rPr>
        <w:t xml:space="preserve">pudiera </w:t>
      </w:r>
      <w:proofErr w:type="gramStart"/>
      <w:r w:rsidRPr="00C8322C">
        <w:rPr>
          <w:rFonts w:ascii="Calibri" w:hAnsi="Calibri"/>
          <w:lang w:val="es-CR"/>
        </w:rPr>
        <w:t>presentar</w:t>
      </w:r>
      <w:proofErr w:type="gramEnd"/>
      <w:r w:rsidRPr="00C8322C">
        <w:rPr>
          <w:rFonts w:ascii="Calibri" w:hAnsi="Calibri"/>
          <w:lang w:val="es-CR"/>
        </w:rPr>
        <w:t xml:space="preserve"> </w:t>
      </w:r>
      <w:r>
        <w:rPr>
          <w:rFonts w:ascii="Calibri" w:hAnsi="Calibri"/>
          <w:lang w:val="es-CR"/>
        </w:rPr>
        <w:t xml:space="preserve">por parte de </w:t>
      </w:r>
      <w:r w:rsidRPr="00C8322C">
        <w:rPr>
          <w:rFonts w:ascii="Calibri" w:hAnsi="Calibri"/>
          <w:lang w:val="es-CR"/>
        </w:rPr>
        <w:t xml:space="preserve">las autoridades y las comunidades de acogida hacia los residentes y los proveedores de servicios de los Centros Colectivos). </w:t>
      </w:r>
    </w:p>
    <w:p w:rsidR="00AC5017" w:rsidRPr="00C8322C" w:rsidRDefault="00AC5017" w:rsidP="00C8322C">
      <w:pPr>
        <w:jc w:val="both"/>
        <w:rPr>
          <w:rFonts w:ascii="Calibri" w:hAnsi="Calibri"/>
          <w:lang w:val="es-CR"/>
        </w:rPr>
      </w:pPr>
    </w:p>
    <w:p w:rsidR="00AC5017" w:rsidRPr="00C8322C" w:rsidRDefault="00AC5017" w:rsidP="00C8322C">
      <w:pPr>
        <w:jc w:val="both"/>
        <w:rPr>
          <w:rFonts w:ascii="Calibri" w:hAnsi="Calibri"/>
          <w:lang w:val="es-CR"/>
        </w:rPr>
      </w:pPr>
      <w:r w:rsidRPr="00C8322C">
        <w:rPr>
          <w:rFonts w:ascii="Calibri" w:hAnsi="Calibri"/>
          <w:lang w:val="es-CR"/>
        </w:rPr>
        <w:t xml:space="preserve">En muchos casos, sin embargo, el suministro de agua de un Centro Colectivo está garantizado a través de un sistema de agua independiente, como es el caso de pozos </w:t>
      </w:r>
      <w:r>
        <w:rPr>
          <w:rFonts w:ascii="Calibri" w:hAnsi="Calibri"/>
          <w:lang w:val="es-CR"/>
        </w:rPr>
        <w:t>excavados</w:t>
      </w:r>
      <w:r w:rsidRPr="00C8322C">
        <w:rPr>
          <w:rFonts w:ascii="Calibri" w:hAnsi="Calibri"/>
          <w:lang w:val="es-CR"/>
        </w:rPr>
        <w:t xml:space="preserve">, operados a mano o por bombas motorizadas. Cualquiera que sea la fuente de agua, un Centro Colectivo debe contar con una instalación de almacenamiento para lidiar con la escasez de agua. Además, se debe hacer la distribución apropiada de recipientes de </w:t>
      </w:r>
      <w:r>
        <w:rPr>
          <w:rFonts w:ascii="Calibri" w:hAnsi="Calibri"/>
          <w:lang w:val="es-CR"/>
        </w:rPr>
        <w:t xml:space="preserve">recolección y almacenamiento de agua </w:t>
      </w:r>
      <w:r w:rsidRPr="00C8322C">
        <w:rPr>
          <w:rFonts w:ascii="Calibri" w:hAnsi="Calibri"/>
          <w:lang w:val="es-CR"/>
        </w:rPr>
        <w:t>entre los residentes de los Centros, como parte del paquete de artículos no alimentarios de primera necesidad.</w:t>
      </w:r>
    </w:p>
    <w:p w:rsidR="00AC5017" w:rsidRPr="00C8322C" w:rsidRDefault="00AC5017" w:rsidP="00C8322C">
      <w:pPr>
        <w:jc w:val="both"/>
        <w:rPr>
          <w:rFonts w:ascii="Calibri" w:hAnsi="Calibri"/>
          <w:lang w:val="es-CR"/>
        </w:rPr>
      </w:pPr>
    </w:p>
    <w:p w:rsidR="00AC5017" w:rsidRPr="00C8322C" w:rsidRDefault="00AC5017" w:rsidP="00C8322C">
      <w:pPr>
        <w:jc w:val="both"/>
        <w:rPr>
          <w:rFonts w:ascii="Calibri" w:hAnsi="Calibri"/>
          <w:b/>
          <w:lang w:val="es-CR"/>
        </w:rPr>
      </w:pPr>
      <w:r w:rsidRPr="00C8322C">
        <w:rPr>
          <w:rFonts w:ascii="Calibri" w:hAnsi="Calibri"/>
          <w:b/>
          <w:lang w:val="es-CR"/>
        </w:rPr>
        <w:t xml:space="preserve">Tuberías internas </w:t>
      </w:r>
    </w:p>
    <w:p w:rsidR="00AC5017" w:rsidRPr="00C8322C" w:rsidRDefault="00AC5017" w:rsidP="00C8322C">
      <w:pPr>
        <w:jc w:val="both"/>
        <w:rPr>
          <w:rFonts w:ascii="Calibri" w:hAnsi="Calibri"/>
          <w:lang w:val="es-CR"/>
        </w:rPr>
      </w:pPr>
      <w:r w:rsidRPr="00C8322C">
        <w:rPr>
          <w:rFonts w:ascii="Calibri" w:hAnsi="Calibri"/>
          <w:lang w:val="es-CR"/>
        </w:rPr>
        <w:t xml:space="preserve">En muchos países donde hay Centros Colectivos, la norma </w:t>
      </w:r>
      <w:r>
        <w:rPr>
          <w:rFonts w:ascii="Calibri" w:hAnsi="Calibri"/>
          <w:lang w:val="es-CR"/>
        </w:rPr>
        <w:t xml:space="preserve">es que exista </w:t>
      </w:r>
      <w:r w:rsidRPr="00C8322C">
        <w:rPr>
          <w:rFonts w:ascii="Calibri" w:hAnsi="Calibri"/>
          <w:lang w:val="es-CR"/>
        </w:rPr>
        <w:t>agua corriente dentro del Centro y dentro de los espacios individuales</w:t>
      </w:r>
      <w:r>
        <w:rPr>
          <w:rFonts w:ascii="Calibri" w:hAnsi="Calibri"/>
          <w:lang w:val="es-CR"/>
        </w:rPr>
        <w:t xml:space="preserve"> habitables </w:t>
      </w:r>
      <w:r w:rsidRPr="00C8322C">
        <w:rPr>
          <w:rFonts w:ascii="Calibri" w:hAnsi="Calibri"/>
          <w:lang w:val="es-CR"/>
        </w:rPr>
        <w:t xml:space="preserve">(tubería interna). </w:t>
      </w:r>
      <w:r>
        <w:rPr>
          <w:rFonts w:ascii="Calibri" w:hAnsi="Calibri"/>
          <w:lang w:val="es-CR"/>
        </w:rPr>
        <w:t xml:space="preserve">Esta norma nacional, </w:t>
      </w:r>
      <w:r w:rsidRPr="00C8322C">
        <w:rPr>
          <w:rFonts w:ascii="Calibri" w:hAnsi="Calibri"/>
          <w:lang w:val="es-CR"/>
        </w:rPr>
        <w:t xml:space="preserve">aún </w:t>
      </w:r>
      <w:r>
        <w:rPr>
          <w:rFonts w:ascii="Calibri" w:hAnsi="Calibri"/>
          <w:lang w:val="es-CR"/>
        </w:rPr>
        <w:t xml:space="preserve">yendo </w:t>
      </w:r>
      <w:r w:rsidRPr="00C8322C">
        <w:rPr>
          <w:rFonts w:ascii="Calibri" w:hAnsi="Calibri"/>
          <w:lang w:val="es-CR"/>
        </w:rPr>
        <w:t>más allá de los estándares humanitarios básicos</w:t>
      </w:r>
      <w:r>
        <w:rPr>
          <w:rFonts w:ascii="Calibri" w:hAnsi="Calibri"/>
          <w:lang w:val="es-CR"/>
        </w:rPr>
        <w:t xml:space="preserve"> se deberá seguir, </w:t>
      </w:r>
      <w:r w:rsidRPr="00C8322C">
        <w:rPr>
          <w:rFonts w:ascii="Calibri" w:hAnsi="Calibri"/>
          <w:lang w:val="es-CR"/>
        </w:rPr>
        <w:t xml:space="preserve">especialmente en los Centros Colectivos </w:t>
      </w:r>
      <w:r>
        <w:rPr>
          <w:rFonts w:ascii="Calibri" w:hAnsi="Calibri"/>
          <w:lang w:val="es-CR"/>
        </w:rPr>
        <w:t>de larga duración.</w:t>
      </w:r>
      <w:r w:rsidRPr="00C8322C">
        <w:rPr>
          <w:rFonts w:ascii="Calibri" w:hAnsi="Calibri"/>
          <w:lang w:val="es-CR"/>
        </w:rPr>
        <w:t xml:space="preserve">  </w:t>
      </w:r>
    </w:p>
    <w:p w:rsidR="00AC5017" w:rsidRPr="00C8322C" w:rsidRDefault="00AC5017" w:rsidP="00C8322C">
      <w:pPr>
        <w:jc w:val="both"/>
        <w:rPr>
          <w:rFonts w:ascii="Calibri" w:hAnsi="Calibri"/>
          <w:lang w:val="es-CR"/>
        </w:rPr>
      </w:pPr>
    </w:p>
    <w:p w:rsidR="00AC5017" w:rsidRDefault="00AC5017" w:rsidP="00C8322C">
      <w:pPr>
        <w:jc w:val="both"/>
        <w:rPr>
          <w:rFonts w:ascii="Calibri" w:hAnsi="Calibri"/>
          <w:b/>
          <w:lang w:val="es-CR"/>
        </w:rPr>
      </w:pPr>
      <w:r w:rsidRPr="00C8322C">
        <w:rPr>
          <w:rFonts w:ascii="Calibri" w:hAnsi="Calibri"/>
          <w:b/>
          <w:lang w:val="es-CR"/>
        </w:rPr>
        <w:t>Pruebas de</w:t>
      </w:r>
      <w:r>
        <w:rPr>
          <w:rFonts w:ascii="Calibri" w:hAnsi="Calibri"/>
          <w:b/>
          <w:lang w:val="es-CR"/>
        </w:rPr>
        <w:t xml:space="preserve"> potabilidad del agua </w:t>
      </w:r>
    </w:p>
    <w:p w:rsidR="00AC5017" w:rsidRPr="00C8322C" w:rsidRDefault="00AC5017" w:rsidP="00C8322C">
      <w:pPr>
        <w:jc w:val="both"/>
        <w:rPr>
          <w:rFonts w:ascii="Calibri" w:hAnsi="Calibri"/>
          <w:lang w:val="es-CR"/>
        </w:rPr>
      </w:pPr>
      <w:r>
        <w:rPr>
          <w:rFonts w:ascii="Calibri" w:hAnsi="Calibri"/>
          <w:lang w:val="es-CR"/>
        </w:rPr>
        <w:lastRenderedPageBreak/>
        <w:t>E</w:t>
      </w:r>
      <w:r w:rsidRPr="00C8322C">
        <w:rPr>
          <w:rFonts w:ascii="Calibri" w:hAnsi="Calibri"/>
          <w:lang w:val="es-CR"/>
        </w:rPr>
        <w:t xml:space="preserve">l agua potable </w:t>
      </w:r>
      <w:r>
        <w:rPr>
          <w:rFonts w:ascii="Calibri" w:hAnsi="Calibri"/>
          <w:lang w:val="es-CR"/>
        </w:rPr>
        <w:t>s</w:t>
      </w:r>
      <w:r w:rsidRPr="00C8322C">
        <w:rPr>
          <w:rFonts w:ascii="Calibri" w:hAnsi="Calibri"/>
          <w:lang w:val="es-CR"/>
        </w:rPr>
        <w:t>e deberá probar con regularidad para asegurar de que cumpl</w:t>
      </w:r>
      <w:r>
        <w:rPr>
          <w:rFonts w:ascii="Calibri" w:hAnsi="Calibri"/>
          <w:lang w:val="es-CR"/>
        </w:rPr>
        <w:t>e</w:t>
      </w:r>
      <w:r w:rsidRPr="00C8322C">
        <w:rPr>
          <w:rFonts w:ascii="Calibri" w:hAnsi="Calibri"/>
          <w:lang w:val="es-CR"/>
        </w:rPr>
        <w:t xml:space="preserve"> con los estándares nacionales de salud. Los entes de salubridad nacional y el Gestor del Centro Colectivo deberán cerciorarse de que estas pruebas se realicen y</w:t>
      </w:r>
      <w:r>
        <w:rPr>
          <w:rFonts w:ascii="Calibri" w:hAnsi="Calibri"/>
          <w:lang w:val="es-CR"/>
        </w:rPr>
        <w:t>,</w:t>
      </w:r>
      <w:r w:rsidRPr="00C8322C">
        <w:rPr>
          <w:rFonts w:ascii="Calibri" w:hAnsi="Calibri"/>
          <w:lang w:val="es-CR"/>
        </w:rPr>
        <w:t xml:space="preserve"> </w:t>
      </w:r>
      <w:r>
        <w:rPr>
          <w:rFonts w:ascii="Calibri" w:hAnsi="Calibri"/>
          <w:lang w:val="es-CR"/>
        </w:rPr>
        <w:t xml:space="preserve">de ser necesario, </w:t>
      </w:r>
      <w:r w:rsidRPr="00C8322C">
        <w:rPr>
          <w:rFonts w:ascii="Calibri" w:hAnsi="Calibri"/>
          <w:lang w:val="es-CR"/>
        </w:rPr>
        <w:t>se implemente cualquier medida de corrección indicada.</w:t>
      </w:r>
    </w:p>
    <w:p w:rsidR="00AC5017" w:rsidRPr="00C8322C" w:rsidRDefault="00AC5017" w:rsidP="00C8322C">
      <w:pPr>
        <w:jc w:val="both"/>
        <w:rPr>
          <w:rFonts w:ascii="Calibri" w:hAnsi="Calibri"/>
          <w:lang w:val="es-CR"/>
        </w:rPr>
      </w:pPr>
    </w:p>
    <w:p w:rsidR="00AC5017" w:rsidRPr="00C8322C" w:rsidRDefault="00AC5017" w:rsidP="00C8322C">
      <w:pPr>
        <w:jc w:val="both"/>
        <w:rPr>
          <w:rFonts w:ascii="Calibri" w:hAnsi="Calibri"/>
          <w:b/>
          <w:lang w:val="es-CR"/>
        </w:rPr>
      </w:pPr>
      <w:r w:rsidRPr="00C8322C">
        <w:rPr>
          <w:rFonts w:ascii="Calibri" w:hAnsi="Calibri"/>
          <w:b/>
          <w:lang w:val="es-CR"/>
        </w:rPr>
        <w:t>Uso del Agua</w:t>
      </w:r>
    </w:p>
    <w:p w:rsidR="00AC5017" w:rsidRPr="00C8322C" w:rsidRDefault="00AC5017" w:rsidP="00C8322C">
      <w:pPr>
        <w:jc w:val="both"/>
        <w:rPr>
          <w:rFonts w:ascii="Calibri" w:hAnsi="Calibri"/>
          <w:lang w:val="es-CR"/>
        </w:rPr>
      </w:pPr>
      <w:r w:rsidRPr="00C8322C">
        <w:rPr>
          <w:rFonts w:ascii="Calibri" w:hAnsi="Calibri"/>
          <w:lang w:val="es-CR"/>
        </w:rPr>
        <w:t xml:space="preserve">En lo que respecta al suministro de agua, el indicador Esfera de 15 litros por persona por día es demasiado bajo, en términos generales. El uso del agua entre los residentes del Centro Colectivo excede esta cifra sustancialmente, en parte porque </w:t>
      </w:r>
      <w:r>
        <w:rPr>
          <w:rFonts w:ascii="Calibri" w:hAnsi="Calibri"/>
          <w:lang w:val="es-CR"/>
        </w:rPr>
        <w:t xml:space="preserve">el suministro de agua de </w:t>
      </w:r>
      <w:r w:rsidRPr="00C8322C">
        <w:rPr>
          <w:rFonts w:ascii="Calibri" w:hAnsi="Calibri"/>
          <w:lang w:val="es-CR"/>
        </w:rPr>
        <w:t xml:space="preserve">muchos Centros </w:t>
      </w:r>
      <w:r>
        <w:rPr>
          <w:rFonts w:ascii="Calibri" w:hAnsi="Calibri"/>
          <w:lang w:val="es-CR"/>
        </w:rPr>
        <w:t xml:space="preserve"> es</w:t>
      </w:r>
      <w:r w:rsidRPr="00C8322C">
        <w:rPr>
          <w:rFonts w:ascii="Calibri" w:hAnsi="Calibri"/>
          <w:lang w:val="es-CR"/>
        </w:rPr>
        <w:t xml:space="preserve"> por tubería y</w:t>
      </w:r>
      <w:r>
        <w:rPr>
          <w:rFonts w:ascii="Calibri" w:hAnsi="Calibri"/>
          <w:lang w:val="es-CR"/>
        </w:rPr>
        <w:t xml:space="preserve"> los</w:t>
      </w:r>
      <w:r w:rsidRPr="00C8322C">
        <w:rPr>
          <w:rFonts w:ascii="Calibri" w:hAnsi="Calibri"/>
          <w:lang w:val="es-CR"/>
        </w:rPr>
        <w:t xml:space="preserve"> retretes usan agua para la expulsión de desechos. </w:t>
      </w:r>
      <w:r>
        <w:rPr>
          <w:rFonts w:ascii="Calibri" w:hAnsi="Calibri"/>
          <w:lang w:val="es-CR"/>
        </w:rPr>
        <w:t>De todas formas, d</w:t>
      </w:r>
      <w:r w:rsidRPr="00C8322C">
        <w:rPr>
          <w:rFonts w:ascii="Calibri" w:hAnsi="Calibri"/>
          <w:lang w:val="es-CR"/>
        </w:rPr>
        <w:t>ebido a la diversidad de hábitos culturales,  estándares nacionales y disponibilidad de agua</w:t>
      </w:r>
      <w:r>
        <w:rPr>
          <w:rFonts w:ascii="Calibri" w:hAnsi="Calibri"/>
          <w:lang w:val="es-CR"/>
        </w:rPr>
        <w:t xml:space="preserve"> real</w:t>
      </w:r>
      <w:r w:rsidRPr="00C8322C">
        <w:rPr>
          <w:rFonts w:ascii="Calibri" w:hAnsi="Calibri"/>
          <w:lang w:val="es-CR"/>
        </w:rPr>
        <w:t xml:space="preserve">, no se puede </w:t>
      </w:r>
      <w:r>
        <w:rPr>
          <w:rFonts w:ascii="Calibri" w:hAnsi="Calibri"/>
          <w:lang w:val="es-CR"/>
        </w:rPr>
        <w:t xml:space="preserve">establecer </w:t>
      </w:r>
      <w:r w:rsidRPr="00C8322C">
        <w:rPr>
          <w:rFonts w:ascii="Calibri" w:hAnsi="Calibri"/>
          <w:lang w:val="es-CR"/>
        </w:rPr>
        <w:t>una norma estandarizada y de aplicación amplia.</w:t>
      </w:r>
    </w:p>
    <w:p w:rsidR="00AC5017" w:rsidRPr="00C8322C" w:rsidRDefault="00AC5017" w:rsidP="00C8322C">
      <w:pPr>
        <w:jc w:val="both"/>
        <w:rPr>
          <w:rFonts w:ascii="Calibri" w:hAnsi="Calibri"/>
          <w:lang w:val="es-CR"/>
        </w:rPr>
      </w:pPr>
    </w:p>
    <w:tbl>
      <w:tblPr>
        <w:tblW w:w="91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189"/>
      </w:tblGrid>
      <w:tr w:rsidR="00AC5017" w:rsidTr="00903EFF">
        <w:trPr>
          <w:trHeight w:val="851"/>
        </w:trPr>
        <w:tc>
          <w:tcPr>
            <w:tcW w:w="9189" w:type="dxa"/>
            <w:shd w:val="clear" w:color="auto" w:fill="B8CCE4"/>
          </w:tcPr>
          <w:p w:rsidR="00AC5017" w:rsidRPr="00903EFF" w:rsidRDefault="00AC5017" w:rsidP="00903EFF">
            <w:pPr>
              <w:ind w:left="126"/>
              <w:jc w:val="both"/>
              <w:rPr>
                <w:rFonts w:ascii="Calibri" w:hAnsi="Calibri"/>
                <w:b/>
                <w:i/>
                <w:lang w:val="es-CR"/>
              </w:rPr>
            </w:pPr>
            <w:r w:rsidRPr="00903EFF">
              <w:rPr>
                <w:rFonts w:ascii="Calibri" w:hAnsi="Calibri"/>
                <w:b/>
                <w:i/>
                <w:lang w:val="es-CR"/>
              </w:rPr>
              <w:t>Recomendaciones</w:t>
            </w:r>
          </w:p>
          <w:p w:rsidR="00AC5017" w:rsidRDefault="00AC5017" w:rsidP="00903EFF">
            <w:pPr>
              <w:ind w:left="126"/>
              <w:jc w:val="both"/>
              <w:rPr>
                <w:rFonts w:ascii="Calibri" w:hAnsi="Calibri"/>
                <w:b/>
                <w:lang w:val="es-CR"/>
              </w:rPr>
            </w:pPr>
            <w:r w:rsidRPr="00C8322C">
              <w:rPr>
                <w:rFonts w:ascii="Calibri" w:hAnsi="Calibri"/>
                <w:lang w:val="es-CR"/>
              </w:rPr>
              <w:t>Se recomienda la creación de un comité de Agua-San</w:t>
            </w:r>
            <w:r>
              <w:rPr>
                <w:rFonts w:ascii="Calibri" w:hAnsi="Calibri"/>
                <w:lang w:val="es-CR"/>
              </w:rPr>
              <w:t>eamiento</w:t>
            </w:r>
            <w:r w:rsidRPr="00C8322C">
              <w:rPr>
                <w:rFonts w:ascii="Calibri" w:hAnsi="Calibri"/>
                <w:lang w:val="es-CR"/>
              </w:rPr>
              <w:t>-Higiene dentro del Centro Colectivo.</w:t>
            </w:r>
          </w:p>
        </w:tc>
      </w:tr>
    </w:tbl>
    <w:p w:rsidR="00AC5017" w:rsidRDefault="00AC5017" w:rsidP="00C8322C">
      <w:pPr>
        <w:jc w:val="both"/>
        <w:rPr>
          <w:rFonts w:ascii="Calibri" w:hAnsi="Calibri"/>
          <w:b/>
          <w:lang w:val="es-CR"/>
        </w:rPr>
      </w:pPr>
    </w:p>
    <w:p w:rsidR="00AC5017" w:rsidRPr="00C8322C" w:rsidRDefault="00AC5017" w:rsidP="00C8322C">
      <w:pPr>
        <w:jc w:val="both"/>
        <w:rPr>
          <w:rFonts w:ascii="Calibri" w:hAnsi="Calibri"/>
          <w:b/>
          <w:lang w:val="es-CR"/>
        </w:rPr>
      </w:pPr>
      <w:r w:rsidRPr="00C8322C">
        <w:rPr>
          <w:rFonts w:ascii="Calibri" w:hAnsi="Calibri"/>
          <w:b/>
          <w:lang w:val="es-CR"/>
        </w:rPr>
        <w:t>Saneamiento adecuado y seguro</w:t>
      </w:r>
    </w:p>
    <w:p w:rsidR="00AC5017" w:rsidRPr="00C8322C" w:rsidRDefault="00AC5017" w:rsidP="00C8322C">
      <w:pPr>
        <w:jc w:val="both"/>
        <w:rPr>
          <w:rFonts w:ascii="Calibri" w:hAnsi="Calibri"/>
          <w:lang w:val="es-CR"/>
        </w:rPr>
      </w:pPr>
      <w:r>
        <w:rPr>
          <w:rFonts w:ascii="Calibri" w:hAnsi="Calibri"/>
          <w:lang w:val="es-CR"/>
        </w:rPr>
        <w:t>A</w:t>
      </w:r>
      <w:r w:rsidRPr="00C8322C">
        <w:rPr>
          <w:rFonts w:ascii="Calibri" w:hAnsi="Calibri"/>
          <w:lang w:val="es-CR"/>
        </w:rPr>
        <w:t xml:space="preserve"> pesar de las limitaciones estructurales de</w:t>
      </w:r>
      <w:r>
        <w:rPr>
          <w:rFonts w:ascii="Calibri" w:hAnsi="Calibri"/>
          <w:lang w:val="es-CR"/>
        </w:rPr>
        <w:t xml:space="preserve"> </w:t>
      </w:r>
      <w:r w:rsidRPr="00C8322C">
        <w:rPr>
          <w:rFonts w:ascii="Calibri" w:hAnsi="Calibri"/>
          <w:lang w:val="es-CR"/>
        </w:rPr>
        <w:t>l</w:t>
      </w:r>
      <w:r>
        <w:rPr>
          <w:rFonts w:ascii="Calibri" w:hAnsi="Calibri"/>
          <w:lang w:val="es-CR"/>
        </w:rPr>
        <w:t>os</w:t>
      </w:r>
      <w:r w:rsidRPr="00C8322C">
        <w:rPr>
          <w:rFonts w:ascii="Calibri" w:hAnsi="Calibri"/>
          <w:lang w:val="es-CR"/>
        </w:rPr>
        <w:t xml:space="preserve"> Centro</w:t>
      </w:r>
      <w:r>
        <w:rPr>
          <w:rFonts w:ascii="Calibri" w:hAnsi="Calibri"/>
          <w:lang w:val="es-CR"/>
        </w:rPr>
        <w:t>s</w:t>
      </w:r>
      <w:r w:rsidRPr="00C8322C">
        <w:rPr>
          <w:rFonts w:ascii="Calibri" w:hAnsi="Calibri"/>
          <w:lang w:val="es-CR"/>
        </w:rPr>
        <w:t xml:space="preserve"> Colectivo</w:t>
      </w:r>
      <w:r>
        <w:rPr>
          <w:rFonts w:ascii="Calibri" w:hAnsi="Calibri"/>
          <w:lang w:val="es-CR"/>
        </w:rPr>
        <w:t xml:space="preserve">s, </w:t>
      </w:r>
      <w:r w:rsidRPr="00C8322C">
        <w:rPr>
          <w:rFonts w:ascii="Calibri" w:hAnsi="Calibri"/>
          <w:lang w:val="es-CR"/>
        </w:rPr>
        <w:t xml:space="preserve"> </w:t>
      </w:r>
      <w:r>
        <w:rPr>
          <w:rFonts w:ascii="Calibri" w:hAnsi="Calibri"/>
          <w:lang w:val="es-CR"/>
        </w:rPr>
        <w:t>l</w:t>
      </w:r>
      <w:r w:rsidRPr="00C8322C">
        <w:rPr>
          <w:rFonts w:ascii="Calibri" w:hAnsi="Calibri"/>
          <w:lang w:val="es-CR"/>
        </w:rPr>
        <w:t xml:space="preserve">as soluciones de saneamiento deben respetar </w:t>
      </w:r>
      <w:r>
        <w:rPr>
          <w:rFonts w:ascii="Calibri" w:hAnsi="Calibri"/>
          <w:lang w:val="es-CR"/>
        </w:rPr>
        <w:t xml:space="preserve">las </w:t>
      </w:r>
      <w:r w:rsidRPr="00C8322C">
        <w:rPr>
          <w:rFonts w:ascii="Calibri" w:hAnsi="Calibri"/>
          <w:lang w:val="es-CR"/>
        </w:rPr>
        <w:t xml:space="preserve">normas culturales </w:t>
      </w:r>
      <w:r>
        <w:rPr>
          <w:rFonts w:ascii="Calibri" w:hAnsi="Calibri"/>
          <w:lang w:val="es-CR"/>
        </w:rPr>
        <w:t xml:space="preserve">y </w:t>
      </w:r>
      <w:r w:rsidRPr="00C8322C">
        <w:rPr>
          <w:rFonts w:ascii="Calibri" w:hAnsi="Calibri"/>
          <w:lang w:val="es-CR"/>
        </w:rPr>
        <w:t xml:space="preserve">los estándares de higiene </w:t>
      </w:r>
      <w:r>
        <w:rPr>
          <w:rFonts w:ascii="Calibri" w:hAnsi="Calibri"/>
          <w:lang w:val="es-CR"/>
        </w:rPr>
        <w:t>pertinentes.</w:t>
      </w:r>
      <w:r w:rsidRPr="00C8322C">
        <w:rPr>
          <w:rFonts w:ascii="Calibri" w:hAnsi="Calibri"/>
          <w:lang w:val="es-CR"/>
        </w:rPr>
        <w:t xml:space="preserve"> Además, desde una perspectiva de protección, no se puede subestimar la importancia de contar con instalaciones separadas por sexo, de forma proporcional a la relación de mujeres a hombres. </w:t>
      </w:r>
      <w:r>
        <w:rPr>
          <w:rFonts w:ascii="Calibri" w:hAnsi="Calibri"/>
          <w:lang w:val="es-CR"/>
        </w:rPr>
        <w:t>En m</w:t>
      </w:r>
      <w:r w:rsidRPr="00C8322C">
        <w:rPr>
          <w:rFonts w:ascii="Calibri" w:hAnsi="Calibri"/>
          <w:lang w:val="es-CR"/>
        </w:rPr>
        <w:t xml:space="preserve">uchos </w:t>
      </w:r>
      <w:r>
        <w:rPr>
          <w:rFonts w:ascii="Calibri" w:hAnsi="Calibri"/>
          <w:lang w:val="es-CR"/>
        </w:rPr>
        <w:t xml:space="preserve">casos, los </w:t>
      </w:r>
      <w:r w:rsidRPr="00C8322C">
        <w:rPr>
          <w:rFonts w:ascii="Calibri" w:hAnsi="Calibri"/>
          <w:lang w:val="es-CR"/>
        </w:rPr>
        <w:t xml:space="preserve">Centros Colectivos no fueron construidos para ser habitados, por lo que no suelen incluir instalaciones sanitarias adecuadas. El acondicionamiento de Centros con soluciones sanitarias, aparte de ser costoso, es muy difícil y requiere un alto nivel de experiencia técnica por parte del diseñador y del implementador. Las instalaciones externas podrían ser </w:t>
      </w:r>
      <w:r>
        <w:rPr>
          <w:rFonts w:ascii="Calibri" w:hAnsi="Calibri"/>
          <w:lang w:val="es-CR"/>
        </w:rPr>
        <w:t>la</w:t>
      </w:r>
      <w:r w:rsidRPr="00C8322C">
        <w:rPr>
          <w:rFonts w:ascii="Calibri" w:hAnsi="Calibri"/>
          <w:lang w:val="es-CR"/>
        </w:rPr>
        <w:t xml:space="preserve"> opción más factible </w:t>
      </w:r>
      <w:r>
        <w:rPr>
          <w:rFonts w:ascii="Calibri" w:hAnsi="Calibri"/>
          <w:lang w:val="es-CR"/>
        </w:rPr>
        <w:t xml:space="preserve">y </w:t>
      </w:r>
      <w:r w:rsidRPr="00C8322C">
        <w:rPr>
          <w:rFonts w:ascii="Calibri" w:hAnsi="Calibri"/>
          <w:lang w:val="es-CR"/>
        </w:rPr>
        <w:t xml:space="preserve">que también resultaría aceptable entre </w:t>
      </w:r>
      <w:r>
        <w:rPr>
          <w:rFonts w:ascii="Calibri" w:hAnsi="Calibri"/>
          <w:lang w:val="es-CR"/>
        </w:rPr>
        <w:t>los residentes del Centro</w:t>
      </w:r>
      <w:r w:rsidRPr="00C8322C">
        <w:rPr>
          <w:rFonts w:ascii="Calibri" w:hAnsi="Calibri"/>
          <w:lang w:val="es-CR"/>
        </w:rPr>
        <w:t>. En dichos casos, debe proporcionarse un acceso seguro a las instalaciones externas para todos los usuarios, especialmente</w:t>
      </w:r>
      <w:r>
        <w:rPr>
          <w:rFonts w:ascii="Calibri" w:hAnsi="Calibri"/>
          <w:lang w:val="es-CR"/>
        </w:rPr>
        <w:t xml:space="preserve"> a </w:t>
      </w:r>
      <w:r w:rsidRPr="00C8322C">
        <w:rPr>
          <w:rFonts w:ascii="Calibri" w:hAnsi="Calibri"/>
          <w:lang w:val="es-CR"/>
        </w:rPr>
        <w:t>los niños,</w:t>
      </w:r>
      <w:r>
        <w:rPr>
          <w:rFonts w:ascii="Calibri" w:hAnsi="Calibri"/>
          <w:lang w:val="es-CR"/>
        </w:rPr>
        <w:t xml:space="preserve"> niñas, </w:t>
      </w:r>
      <w:r w:rsidRPr="00C8322C">
        <w:rPr>
          <w:rFonts w:ascii="Calibri" w:hAnsi="Calibri"/>
          <w:lang w:val="es-CR"/>
        </w:rPr>
        <w:t xml:space="preserve">mujeres </w:t>
      </w:r>
      <w:r>
        <w:rPr>
          <w:rFonts w:ascii="Calibri" w:hAnsi="Calibri"/>
          <w:lang w:val="es-CR"/>
        </w:rPr>
        <w:t>e</w:t>
      </w:r>
      <w:r w:rsidRPr="00C8322C">
        <w:rPr>
          <w:rFonts w:ascii="Calibri" w:hAnsi="Calibri"/>
          <w:lang w:val="es-CR"/>
        </w:rPr>
        <w:t xml:space="preserve">  individuos con necesidades especiales.</w:t>
      </w:r>
    </w:p>
    <w:p w:rsidR="00AC5017" w:rsidRPr="00C8322C" w:rsidRDefault="00AC5017" w:rsidP="00C8322C">
      <w:pPr>
        <w:jc w:val="both"/>
        <w:rPr>
          <w:rFonts w:ascii="Calibri" w:hAnsi="Calibri"/>
          <w:lang w:val="es-CR"/>
        </w:rPr>
      </w:pPr>
    </w:p>
    <w:p w:rsidR="00AC5017" w:rsidRPr="00C8322C" w:rsidRDefault="00AC5017" w:rsidP="00C8322C">
      <w:pPr>
        <w:jc w:val="both"/>
        <w:rPr>
          <w:rFonts w:ascii="Calibri" w:hAnsi="Calibri"/>
          <w:b/>
          <w:lang w:val="es-CR"/>
        </w:rPr>
      </w:pPr>
      <w:r w:rsidRPr="00C8322C">
        <w:rPr>
          <w:rFonts w:ascii="Calibri" w:hAnsi="Calibri"/>
          <w:b/>
          <w:lang w:val="es-CR"/>
        </w:rPr>
        <w:t>"Una familia, un baño”</w:t>
      </w:r>
    </w:p>
    <w:p w:rsidR="00AC5017" w:rsidRPr="00C8322C" w:rsidRDefault="00AC5017" w:rsidP="00C8322C">
      <w:pPr>
        <w:jc w:val="both"/>
        <w:rPr>
          <w:rFonts w:ascii="Calibri" w:hAnsi="Calibri"/>
          <w:lang w:val="es-CR"/>
        </w:rPr>
      </w:pPr>
      <w:r w:rsidRPr="00C8322C">
        <w:rPr>
          <w:rFonts w:ascii="Calibri" w:hAnsi="Calibri"/>
          <w:lang w:val="es-CR"/>
        </w:rPr>
        <w:t xml:space="preserve">En los Centros Colectivos que funcionan a largo plazo, las familias u hogares son </w:t>
      </w:r>
      <w:r>
        <w:rPr>
          <w:rFonts w:ascii="Calibri" w:hAnsi="Calibri"/>
          <w:lang w:val="es-CR"/>
        </w:rPr>
        <w:t>normalmente</w:t>
      </w:r>
      <w:r w:rsidRPr="00C8322C">
        <w:rPr>
          <w:rFonts w:ascii="Calibri" w:hAnsi="Calibri"/>
          <w:lang w:val="es-CR"/>
        </w:rPr>
        <w:t xml:space="preserve"> la unidad apropiada para una célula sanitaria (retrete y ducha). Mientras que en muchos casos la regla de “una familia, un baño” no se logra </w:t>
      </w:r>
      <w:r>
        <w:rPr>
          <w:rFonts w:ascii="Calibri" w:hAnsi="Calibri"/>
          <w:lang w:val="es-CR"/>
        </w:rPr>
        <w:t>por</w:t>
      </w:r>
      <w:r w:rsidRPr="00C8322C">
        <w:rPr>
          <w:rFonts w:ascii="Calibri" w:hAnsi="Calibri"/>
          <w:lang w:val="es-CR"/>
        </w:rPr>
        <w:t xml:space="preserve"> limitaciones estructurales, la experiencia nos enseña que, </w:t>
      </w:r>
      <w:r>
        <w:rPr>
          <w:rFonts w:ascii="Calibri" w:hAnsi="Calibri"/>
          <w:lang w:val="es-CR"/>
        </w:rPr>
        <w:t>donde sea</w:t>
      </w:r>
      <w:r w:rsidRPr="00C8322C">
        <w:rPr>
          <w:rFonts w:ascii="Calibri" w:hAnsi="Calibri"/>
          <w:lang w:val="es-CR"/>
        </w:rPr>
        <w:t xml:space="preserve"> factible, esta es la opción </w:t>
      </w:r>
      <w:r>
        <w:rPr>
          <w:rFonts w:ascii="Calibri" w:hAnsi="Calibri"/>
          <w:lang w:val="es-CR"/>
        </w:rPr>
        <w:t>a la cual se debe aspirar.</w:t>
      </w:r>
      <w:r w:rsidRPr="00C8322C">
        <w:rPr>
          <w:rFonts w:ascii="Calibri" w:hAnsi="Calibri"/>
          <w:lang w:val="es-CR"/>
        </w:rPr>
        <w:t xml:space="preserve"> Este enfoque </w:t>
      </w:r>
      <w:r>
        <w:rPr>
          <w:rFonts w:ascii="Calibri" w:hAnsi="Calibri"/>
          <w:lang w:val="es-CR"/>
        </w:rPr>
        <w:t>garantiza</w:t>
      </w:r>
      <w:r w:rsidRPr="00C8322C">
        <w:rPr>
          <w:rFonts w:ascii="Calibri" w:hAnsi="Calibri"/>
          <w:lang w:val="es-CR"/>
        </w:rPr>
        <w:t xml:space="preserve"> que las instalaciones estén bien mantenidas—</w:t>
      </w:r>
      <w:r>
        <w:rPr>
          <w:rFonts w:ascii="Calibri" w:hAnsi="Calibri"/>
          <w:lang w:val="es-CR"/>
        </w:rPr>
        <w:t xml:space="preserve">lo que </w:t>
      </w:r>
      <w:r w:rsidRPr="00C8322C">
        <w:rPr>
          <w:rFonts w:ascii="Calibri" w:hAnsi="Calibri"/>
          <w:lang w:val="es-CR"/>
        </w:rPr>
        <w:t xml:space="preserve"> es más desafiante en unidades utilizadas por múltiples familias u hogares</w:t>
      </w:r>
      <w:r>
        <w:rPr>
          <w:rFonts w:ascii="Calibri" w:hAnsi="Calibri"/>
          <w:lang w:val="es-CR"/>
        </w:rPr>
        <w:t>, donde e</w:t>
      </w:r>
      <w:r w:rsidRPr="00C8322C">
        <w:rPr>
          <w:rFonts w:ascii="Calibri" w:hAnsi="Calibri"/>
          <w:lang w:val="es-CR"/>
        </w:rPr>
        <w:t xml:space="preserve">l uso frecuente de estas instalaciones requiere un </w:t>
      </w:r>
      <w:r>
        <w:rPr>
          <w:rFonts w:ascii="Calibri" w:hAnsi="Calibri"/>
          <w:lang w:val="es-CR"/>
        </w:rPr>
        <w:t>plan</w:t>
      </w:r>
      <w:r w:rsidRPr="00C8322C">
        <w:rPr>
          <w:rFonts w:ascii="Calibri" w:hAnsi="Calibri"/>
          <w:lang w:val="es-CR"/>
        </w:rPr>
        <w:t xml:space="preserve"> de mantenimiento y limpieza que debe</w:t>
      </w:r>
      <w:r>
        <w:rPr>
          <w:rFonts w:ascii="Calibri" w:hAnsi="Calibri"/>
          <w:lang w:val="es-CR"/>
        </w:rPr>
        <w:t xml:space="preserve"> ser seguido por</w:t>
      </w:r>
      <w:r w:rsidRPr="00C8322C">
        <w:rPr>
          <w:rFonts w:ascii="Calibri" w:hAnsi="Calibri"/>
          <w:lang w:val="es-CR"/>
        </w:rPr>
        <w:t xml:space="preserve"> los residentes del Centro, </w:t>
      </w:r>
      <w:r>
        <w:rPr>
          <w:rFonts w:ascii="Calibri" w:hAnsi="Calibri"/>
          <w:lang w:val="es-CR"/>
        </w:rPr>
        <w:t xml:space="preserve">y </w:t>
      </w:r>
      <w:r w:rsidRPr="00C8322C">
        <w:rPr>
          <w:rFonts w:ascii="Calibri" w:hAnsi="Calibri"/>
          <w:lang w:val="es-CR"/>
        </w:rPr>
        <w:t xml:space="preserve">en la práctica no suele funcionar. </w:t>
      </w:r>
    </w:p>
    <w:p w:rsidR="00AC5017" w:rsidRPr="00C8322C" w:rsidRDefault="00AC5017" w:rsidP="00C8322C">
      <w:pPr>
        <w:jc w:val="both"/>
        <w:rPr>
          <w:rFonts w:ascii="Calibri" w:hAnsi="Calibri"/>
          <w:lang w:val="es-CR"/>
        </w:rPr>
      </w:pPr>
    </w:p>
    <w:p w:rsidR="00AC5017" w:rsidRPr="00C8322C" w:rsidRDefault="00AC5017" w:rsidP="00C8322C">
      <w:pPr>
        <w:jc w:val="both"/>
        <w:rPr>
          <w:rFonts w:ascii="Calibri" w:hAnsi="Calibri"/>
          <w:b/>
          <w:lang w:val="es-CR"/>
        </w:rPr>
      </w:pPr>
      <w:r w:rsidRPr="00C8322C">
        <w:rPr>
          <w:rFonts w:ascii="Calibri" w:hAnsi="Calibri"/>
          <w:b/>
          <w:lang w:val="es-CR"/>
        </w:rPr>
        <w:t>Sistema de aguas residuales</w:t>
      </w:r>
    </w:p>
    <w:p w:rsidR="00AC5017" w:rsidRPr="00C8322C" w:rsidRDefault="00AC5017" w:rsidP="00C8322C">
      <w:pPr>
        <w:jc w:val="both"/>
        <w:rPr>
          <w:rFonts w:ascii="Calibri" w:hAnsi="Calibri"/>
          <w:lang w:val="es-CR"/>
        </w:rPr>
      </w:pPr>
      <w:r w:rsidRPr="00C8322C">
        <w:rPr>
          <w:rFonts w:ascii="Calibri" w:hAnsi="Calibri"/>
          <w:lang w:val="es-CR"/>
        </w:rPr>
        <w:lastRenderedPageBreak/>
        <w:t xml:space="preserve">Con respecto </w:t>
      </w:r>
      <w:r>
        <w:rPr>
          <w:rFonts w:ascii="Calibri" w:hAnsi="Calibri"/>
          <w:lang w:val="es-CR"/>
        </w:rPr>
        <w:t>a</w:t>
      </w:r>
      <w:r w:rsidRPr="00C8322C">
        <w:rPr>
          <w:rFonts w:ascii="Calibri" w:hAnsi="Calibri"/>
          <w:lang w:val="es-CR"/>
        </w:rPr>
        <w:t xml:space="preserve"> las aguas residuales, si no es posible conectar el Centro</w:t>
      </w:r>
      <w:r>
        <w:rPr>
          <w:rFonts w:ascii="Calibri" w:hAnsi="Calibri"/>
          <w:lang w:val="es-CR"/>
        </w:rPr>
        <w:t xml:space="preserve"> Colectivo</w:t>
      </w:r>
      <w:r w:rsidRPr="00C8322C">
        <w:rPr>
          <w:rFonts w:ascii="Calibri" w:hAnsi="Calibri"/>
          <w:lang w:val="es-CR"/>
        </w:rPr>
        <w:t xml:space="preserve"> </w:t>
      </w:r>
      <w:r>
        <w:rPr>
          <w:rFonts w:ascii="Calibri" w:hAnsi="Calibri"/>
          <w:lang w:val="es-CR"/>
        </w:rPr>
        <w:t>al</w:t>
      </w:r>
      <w:r w:rsidRPr="00C8322C">
        <w:rPr>
          <w:rFonts w:ascii="Calibri" w:hAnsi="Calibri"/>
          <w:lang w:val="es-CR"/>
        </w:rPr>
        <w:t xml:space="preserve"> sistema existente de tratamiento de aguas residuales, se pueden construir tanques sépticos externos a una distancia segura de cualquier pozo de agua. Sin embargo, estos tanques sépticos requieren una estrategia de mantenimiento, puesto que deben vaciarse con regularidad. Este tipo de mantenimiento requiere coordinación con las unidades de salubridad y saneamiento nacionales, dado que los residentes del Centro no pueden realizar este tipo de trabajo.  </w:t>
      </w:r>
    </w:p>
    <w:p w:rsidR="00AC5017" w:rsidRPr="00C8322C" w:rsidRDefault="00AC5017" w:rsidP="00C8322C">
      <w:pPr>
        <w:jc w:val="both"/>
        <w:rPr>
          <w:rFonts w:ascii="Calibri" w:hAnsi="Calibri"/>
          <w:lang w:val="es-CR"/>
        </w:rPr>
      </w:pPr>
    </w:p>
    <w:p w:rsidR="00AC5017" w:rsidRPr="00C8322C" w:rsidRDefault="00AC5017" w:rsidP="00C8322C">
      <w:pPr>
        <w:jc w:val="both"/>
        <w:rPr>
          <w:rFonts w:ascii="Calibri" w:hAnsi="Calibri"/>
          <w:lang w:val="es-CR"/>
        </w:rPr>
      </w:pPr>
    </w:p>
    <w:p w:rsidR="00AC5017" w:rsidRPr="00C8322C" w:rsidRDefault="00AC5017" w:rsidP="00C8322C">
      <w:pPr>
        <w:jc w:val="both"/>
        <w:rPr>
          <w:rFonts w:ascii="Calibri" w:hAnsi="Calibri"/>
          <w:b/>
          <w:lang w:val="es-PA"/>
        </w:rPr>
      </w:pPr>
      <w:r w:rsidRPr="00C8322C">
        <w:rPr>
          <w:rFonts w:ascii="Calibri" w:hAnsi="Calibri"/>
          <w:b/>
          <w:lang w:val="es-PA"/>
        </w:rPr>
        <w:t>Lectura</w:t>
      </w:r>
      <w:r>
        <w:rPr>
          <w:rFonts w:ascii="Calibri" w:hAnsi="Calibri"/>
          <w:b/>
          <w:lang w:val="es-PA"/>
        </w:rPr>
        <w:t>s</w:t>
      </w:r>
      <w:r w:rsidRPr="00C8322C">
        <w:rPr>
          <w:rFonts w:ascii="Calibri" w:hAnsi="Calibri"/>
          <w:b/>
          <w:lang w:val="es-PA"/>
        </w:rPr>
        <w:t xml:space="preserve"> adicional</w:t>
      </w:r>
      <w:r>
        <w:rPr>
          <w:rFonts w:ascii="Calibri" w:hAnsi="Calibri"/>
          <w:b/>
          <w:lang w:val="es-PA"/>
        </w:rPr>
        <w:t>es</w:t>
      </w:r>
    </w:p>
    <w:p w:rsidR="00AC5017" w:rsidRPr="00C8322C" w:rsidRDefault="00AC5017" w:rsidP="00C8322C">
      <w:pPr>
        <w:jc w:val="both"/>
        <w:rPr>
          <w:rFonts w:ascii="Calibri" w:hAnsi="Calibri"/>
          <w:lang w:val="es-PA"/>
        </w:rPr>
      </w:pPr>
    </w:p>
    <w:p w:rsidR="00AC5017" w:rsidRPr="00C8322C" w:rsidRDefault="00AC5017" w:rsidP="00C8322C">
      <w:pPr>
        <w:jc w:val="both"/>
        <w:rPr>
          <w:rFonts w:ascii="Calibri" w:hAnsi="Calibri"/>
          <w:lang w:val="es-PA"/>
        </w:rPr>
      </w:pPr>
      <w:r w:rsidRPr="00C8322C">
        <w:rPr>
          <w:rFonts w:ascii="Calibri" w:hAnsi="Calibri"/>
          <w:lang w:val="es-PA"/>
        </w:rPr>
        <w:t xml:space="preserve">NRC, 2008. Kit para la Gestión de Campamentos; Capítulo 14: Agua, Saneamiento e Higiene. </w:t>
      </w:r>
    </w:p>
    <w:p w:rsidR="00AC5017" w:rsidRPr="00C8322C" w:rsidRDefault="00AC5017" w:rsidP="00C8322C">
      <w:pPr>
        <w:jc w:val="both"/>
        <w:rPr>
          <w:rFonts w:ascii="Calibri" w:hAnsi="Calibri"/>
          <w:lang w:val="es-PA"/>
        </w:rPr>
      </w:pPr>
    </w:p>
    <w:p w:rsidR="00AC5017" w:rsidRPr="00C8322C" w:rsidRDefault="00AC5017" w:rsidP="00C8322C">
      <w:pPr>
        <w:jc w:val="both"/>
        <w:rPr>
          <w:rFonts w:ascii="Calibri" w:hAnsi="Calibri"/>
          <w:lang w:val="es-CR"/>
        </w:rPr>
      </w:pPr>
      <w:r w:rsidRPr="00C8322C">
        <w:rPr>
          <w:rFonts w:ascii="Calibri" w:hAnsi="Calibri"/>
          <w:lang w:val="es-CR"/>
        </w:rPr>
        <w:t>Disponible: http://www.nrc.no/arch/_img/9293573.pdf</w:t>
      </w:r>
    </w:p>
    <w:p w:rsidR="00AC5017" w:rsidRPr="00C8322C" w:rsidRDefault="00AC5017" w:rsidP="00C8322C">
      <w:pPr>
        <w:jc w:val="both"/>
        <w:rPr>
          <w:rFonts w:ascii="Calibri" w:hAnsi="Calibri"/>
          <w:lang w:val="es-CR"/>
        </w:rPr>
      </w:pPr>
    </w:p>
    <w:p w:rsidR="00AC5017" w:rsidRPr="00C8322C" w:rsidRDefault="00AC5017" w:rsidP="00C8322C">
      <w:pPr>
        <w:jc w:val="both"/>
        <w:rPr>
          <w:rFonts w:ascii="Calibri" w:hAnsi="Calibri"/>
          <w:lang w:val="en-US"/>
        </w:rPr>
      </w:pPr>
      <w:proofErr w:type="spellStart"/>
      <w:r w:rsidRPr="00C8322C">
        <w:rPr>
          <w:rFonts w:ascii="Calibri" w:hAnsi="Calibri"/>
          <w:lang w:val="en-US"/>
        </w:rPr>
        <w:t>Sitio</w:t>
      </w:r>
      <w:proofErr w:type="spellEnd"/>
      <w:r w:rsidRPr="00C8322C">
        <w:rPr>
          <w:rFonts w:ascii="Calibri" w:hAnsi="Calibri"/>
          <w:lang w:val="en-US"/>
        </w:rPr>
        <w:t xml:space="preserve"> web </w:t>
      </w:r>
      <w:proofErr w:type="spellStart"/>
      <w:r w:rsidRPr="00C8322C">
        <w:rPr>
          <w:rFonts w:ascii="Calibri" w:hAnsi="Calibri"/>
          <w:lang w:val="en-US"/>
        </w:rPr>
        <w:t>Oneresponse</w:t>
      </w:r>
      <w:proofErr w:type="spellEnd"/>
      <w:r w:rsidRPr="00C8322C">
        <w:rPr>
          <w:rFonts w:ascii="Calibri" w:hAnsi="Calibri"/>
          <w:lang w:val="en-US"/>
        </w:rPr>
        <w:t xml:space="preserve">: </w:t>
      </w:r>
    </w:p>
    <w:p w:rsidR="00AC5017" w:rsidRPr="00C8322C" w:rsidRDefault="00AC5017" w:rsidP="00C8322C">
      <w:pPr>
        <w:jc w:val="both"/>
        <w:rPr>
          <w:rFonts w:ascii="Calibri" w:hAnsi="Calibri"/>
          <w:lang w:val="en-US"/>
        </w:rPr>
      </w:pPr>
    </w:p>
    <w:p w:rsidR="00AC5017" w:rsidRPr="00C8322C" w:rsidRDefault="00AC5017" w:rsidP="00C8322C">
      <w:pPr>
        <w:jc w:val="both"/>
        <w:rPr>
          <w:rFonts w:ascii="Calibri" w:hAnsi="Calibri"/>
          <w:lang w:val="en-US"/>
        </w:rPr>
      </w:pPr>
      <w:r w:rsidRPr="00C8322C">
        <w:rPr>
          <w:rFonts w:ascii="Calibri" w:hAnsi="Calibri"/>
          <w:lang w:val="en-US"/>
        </w:rPr>
        <w:t xml:space="preserve">http://oneresponse.info/GlobalClusters/Pages/default.aspx </w:t>
      </w:r>
    </w:p>
    <w:p w:rsidR="00AC5017" w:rsidRPr="00C8322C" w:rsidRDefault="00AC5017" w:rsidP="00C8322C">
      <w:pPr>
        <w:jc w:val="both"/>
        <w:rPr>
          <w:rFonts w:ascii="Calibri" w:hAnsi="Calibri"/>
          <w:lang w:val="en-US"/>
        </w:rPr>
      </w:pPr>
      <w:bookmarkStart w:id="0" w:name="_GoBack"/>
      <w:bookmarkEnd w:id="0"/>
    </w:p>
    <w:sectPr w:rsidR="00AC5017" w:rsidRPr="00C8322C" w:rsidSect="0005629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0027A"/>
    <w:multiLevelType w:val="hybridMultilevel"/>
    <w:tmpl w:val="50D2DACA"/>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compat/>
  <w:rsids>
    <w:rsidRoot w:val="00082AC0"/>
    <w:rsid w:val="00036C5A"/>
    <w:rsid w:val="0005629F"/>
    <w:rsid w:val="000821BC"/>
    <w:rsid w:val="00082AC0"/>
    <w:rsid w:val="001242D0"/>
    <w:rsid w:val="0012553C"/>
    <w:rsid w:val="00157C84"/>
    <w:rsid w:val="00186E5F"/>
    <w:rsid w:val="002059D9"/>
    <w:rsid w:val="0022357A"/>
    <w:rsid w:val="00224C68"/>
    <w:rsid w:val="002710E4"/>
    <w:rsid w:val="00293978"/>
    <w:rsid w:val="00352B3E"/>
    <w:rsid w:val="003B7A4F"/>
    <w:rsid w:val="003F7790"/>
    <w:rsid w:val="00465E07"/>
    <w:rsid w:val="004967CD"/>
    <w:rsid w:val="004A717C"/>
    <w:rsid w:val="00506A82"/>
    <w:rsid w:val="005D5E8F"/>
    <w:rsid w:val="0064156C"/>
    <w:rsid w:val="0072330A"/>
    <w:rsid w:val="00751602"/>
    <w:rsid w:val="00782C85"/>
    <w:rsid w:val="007A09A7"/>
    <w:rsid w:val="008115ED"/>
    <w:rsid w:val="00866D9B"/>
    <w:rsid w:val="00892580"/>
    <w:rsid w:val="00903EFF"/>
    <w:rsid w:val="009349DE"/>
    <w:rsid w:val="009A0673"/>
    <w:rsid w:val="009B2EC4"/>
    <w:rsid w:val="00A227CA"/>
    <w:rsid w:val="00A41A34"/>
    <w:rsid w:val="00A539D9"/>
    <w:rsid w:val="00AC07EC"/>
    <w:rsid w:val="00AC175D"/>
    <w:rsid w:val="00AC5017"/>
    <w:rsid w:val="00B049BB"/>
    <w:rsid w:val="00C10E61"/>
    <w:rsid w:val="00C11A57"/>
    <w:rsid w:val="00C37929"/>
    <w:rsid w:val="00C52F47"/>
    <w:rsid w:val="00C76C9E"/>
    <w:rsid w:val="00C8322C"/>
    <w:rsid w:val="00D32304"/>
    <w:rsid w:val="00D578C3"/>
    <w:rsid w:val="00D71293"/>
    <w:rsid w:val="00D77773"/>
    <w:rsid w:val="00DF3A08"/>
    <w:rsid w:val="00E539E1"/>
    <w:rsid w:val="00E70B10"/>
    <w:rsid w:val="00E73AB5"/>
    <w:rsid w:val="00EC2A86"/>
    <w:rsid w:val="00EC2E7F"/>
    <w:rsid w:val="00F00BEC"/>
    <w:rsid w:val="00F44839"/>
    <w:rsid w:val="00F63E2C"/>
    <w:rsid w:val="00FE4DB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AC0"/>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22357A"/>
    <w:pPr>
      <w:ind w:left="720"/>
      <w:contextualSpacing/>
    </w:pPr>
  </w:style>
  <w:style w:type="table" w:styleId="Sombreadoclaro-nfasis5">
    <w:name w:val="Light Shading Accent 5"/>
    <w:basedOn w:val="Tablanormal"/>
    <w:uiPriority w:val="99"/>
    <w:rsid w:val="00D578C3"/>
    <w:rPr>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styleId="Textodeglobo">
    <w:name w:val="Balloon Text"/>
    <w:basedOn w:val="Normal"/>
    <w:link w:val="TextodegloboCar"/>
    <w:uiPriority w:val="99"/>
    <w:semiHidden/>
    <w:rsid w:val="003B7A4F"/>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3B7A4F"/>
    <w:rPr>
      <w:rFonts w:ascii="Tahoma"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928</Words>
  <Characters>5106</Characters>
  <Application>Microsoft Office Word</Application>
  <DocSecurity>0</DocSecurity>
  <Lines>42</Lines>
  <Paragraphs>12</Paragraphs>
  <ScaleCrop>false</ScaleCrop>
  <Company>amazon.com</Company>
  <LinksUpToDate>false</LinksUpToDate>
  <CharactersWithSpaces>6022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Casas</dc:creator>
  <cp:lastModifiedBy>Usuario de Windows</cp:lastModifiedBy>
  <cp:revision>2</cp:revision>
  <dcterms:created xsi:type="dcterms:W3CDTF">2011-06-25T20:26:00Z</dcterms:created>
  <dcterms:modified xsi:type="dcterms:W3CDTF">2011-06-25T20:26:00Z</dcterms:modified>
</cp:coreProperties>
</file>